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color w:val="64748B"/>
          <w:sz w:val="22"/>
        </w:rPr>
        <w:t>THEMISIQ</w:t>
      </w:r>
    </w:p>
    <w:p>
      <w:pPr>
        <w:jc w:val="center"/>
      </w:pPr>
      <w:r>
        <w:rPr>
          <w:rFonts w:ascii="Calibri" w:hAnsi="Calibri"/>
          <w:b/>
          <w:color w:val="1E293B"/>
          <w:sz w:val="60"/>
        </w:rPr>
        <w:t>Platform System Manual</w:t>
      </w:r>
    </w:p>
    <w:p>
      <w:pPr>
        <w:jc w:val="center"/>
      </w:pPr>
      <w:r>
        <w:rPr>
          <w:color w:val="64748B"/>
          <w:sz w:val="24"/>
        </w:rPr>
        <w:t>Features · Database Architecture · Cross-Module Integration Guide</w:t>
      </w:r>
    </w:p>
    <w:p/>
    <w:p>
      <w:pPr>
        <w:jc w:val="center"/>
      </w:pPr>
      <w:r>
        <w:rPr>
          <w:b/>
          <w:color w:val="7E8062"/>
          <w:sz w:val="20"/>
        </w:rPr>
        <w:t xml:space="preserve">  ARIA  </w:t>
      </w:r>
      <w:r>
        <w:rPr>
          <w:b/>
          <w:color w:val="1A6B3A"/>
          <w:sz w:val="20"/>
        </w:rPr>
        <w:t xml:space="preserve">  GRID  </w:t>
      </w:r>
      <w:r>
        <w:rPr>
          <w:b/>
          <w:color w:val="3D4660"/>
          <w:sz w:val="20"/>
        </w:rPr>
        <w:t xml:space="preserve">  BCM  </w:t>
      </w:r>
      <w:r>
        <w:rPr>
          <w:b/>
          <w:color w:val="1A3460"/>
          <w:sz w:val="20"/>
        </w:rPr>
        <w:t xml:space="preserve">  SENTINEL  </w:t>
      </w:r>
      <w:r>
        <w:rPr>
          <w:b/>
          <w:color w:val="7C1220"/>
          <w:sz w:val="20"/>
        </w:rPr>
        <w:t xml:space="preserve">  ERM  </w:t>
      </w:r>
      <w:r>
        <w:rPr>
          <w:b/>
          <w:color w:val="7C3A0A"/>
          <w:sz w:val="20"/>
        </w:rPr>
        <w:t xml:space="preserve">  ORM  </w:t>
      </w:r>
    </w:p>
    <w:p>
      <w:r>
        <w:br w:type="page"/>
      </w:r>
    </w:p>
    <w:p>
      <w:pPr>
        <w:spacing w:after="40"/>
      </w:pPr>
      <w:r>
        <w:rPr>
          <w:b/>
          <w:color w:val="64748B"/>
          <w:sz w:val="18"/>
        </w:rPr>
        <w:t>SECTION 01  ·  PLATFORM MODULES</w:t>
      </w:r>
    </w:p>
    <w:p>
      <w:pPr>
        <w:pStyle w:val="Heading1"/>
      </w:pPr>
      <w:r>
        <w:rPr>
          <w:color w:val="1E293B"/>
        </w:rPr>
        <w:t>Platform Modules</w:t>
      </w:r>
    </w:p>
    <w:p>
      <w:pPr>
        <w:spacing w:after="80"/>
      </w:pPr>
      <w:r>
        <w:rPr>
          <w:b w:val="0"/>
          <w:i w:val="0"/>
          <w:color w:val="64748B"/>
          <w:sz w:val="22"/>
        </w:rPr>
        <w:t>ThemisIQ is composed of six specialist compliance modules, each with its own database, theme, and feature set — unified under a single platform.</w:t>
      </w:r>
    </w:p>
    <w:p/>
    <w:tbl>
      <w:tblPr>
        <w:tblW w:type="auto" w:w="0"/>
        <w:jc w:val="left"/>
        <w:tblLook w:firstColumn="1" w:firstRow="1" w:lastColumn="0" w:lastRow="0" w:noHBand="0" w:noVBand="1" w:val="04A0"/>
      </w:tblPr>
      <w:tblGrid>
        <w:gridCol w:w="9406"/>
      </w:tblGrid>
      <w:tr>
        <w:tc>
          <w:tcPr>
            <w:tcW w:type="dxa" w:w="9406"/>
            <w:shd w:val="clear" w:color="auto" w:fill="7E8062"/>
          </w:tcPr>
          <w:p>
            <w:r>
              <w:rPr>
                <w:b/>
                <w:color w:val="FFFFFF"/>
                <w:sz w:val="28"/>
              </w:rPr>
              <w:t xml:space="preserve">  ARIA — Governance, Risk &amp; Compliance</w:t>
            </w:r>
          </w:p>
          <w:p>
            <w:r>
              <w:rPr>
                <w:color w:val="DDDDDD"/>
                <w:sz w:val="20"/>
              </w:rPr>
              <w:t xml:space="preserve">  Framework management, control mapping, policy generation and risk register</w:t>
            </w:r>
          </w:p>
        </w:tc>
      </w:tr>
    </w:tbl>
    <w:p/>
    <w:p>
      <w:pPr>
        <w:spacing w:after="80"/>
      </w:pPr>
      <w:r>
        <w:rPr>
          <w:b/>
          <w:i w:val="0"/>
          <w:color w:val="7E8062"/>
          <w:sz w:val="22"/>
        </w:rPr>
        <w:t>Features</w:t>
      </w:r>
    </w:p>
    <w:p>
      <w:pPr>
        <w:pStyle w:val="ListBullet"/>
        <w:spacing w:after="40"/>
      </w:pPr>
      <w:r>
        <w:rPr>
          <w:color w:val="1E293B"/>
          <w:sz w:val="21"/>
        </w:rPr>
        <w:t>Import &amp; manage compliance frameworks (ISO 27001, SOC 2, GDPR, NIST CSF, etc.)</w:t>
      </w:r>
    </w:p>
    <w:p>
      <w:pPr>
        <w:pStyle w:val="ListBullet"/>
        <w:spacing w:after="40"/>
      </w:pPr>
      <w:r>
        <w:rPr>
          <w:color w:val="1E293B"/>
          <w:sz w:val="21"/>
        </w:rPr>
        <w:t>Cross-map controls across multiple frameworks simultaneously</w:t>
      </w:r>
    </w:p>
    <w:p>
      <w:pPr>
        <w:pStyle w:val="ListBullet"/>
        <w:spacing w:after="40"/>
      </w:pPr>
      <w:r>
        <w:rPr>
          <w:color w:val="1E293B"/>
          <w:sz w:val="21"/>
        </w:rPr>
        <w:t>AI-assisted policy generation (Claude API) from control requirements</w:t>
      </w:r>
    </w:p>
    <w:p>
      <w:pPr>
        <w:pStyle w:val="ListBullet"/>
        <w:spacing w:after="40"/>
      </w:pPr>
      <w:r>
        <w:rPr>
          <w:color w:val="1E293B"/>
          <w:sz w:val="21"/>
        </w:rPr>
        <w:t>Evidence and document attachment to controls</w:t>
      </w:r>
    </w:p>
    <w:p>
      <w:pPr>
        <w:pStyle w:val="ListBullet"/>
        <w:spacing w:after="40"/>
      </w:pPr>
      <w:r>
        <w:rPr>
          <w:color w:val="1E293B"/>
          <w:sz w:val="21"/>
        </w:rPr>
        <w:t>Risk register with likelihood × impact scoring</w:t>
      </w:r>
    </w:p>
    <w:p>
      <w:pPr>
        <w:pStyle w:val="ListBullet"/>
        <w:spacing w:after="40"/>
      </w:pPr>
      <w:r>
        <w:rPr>
          <w:color w:val="1E293B"/>
          <w:sz w:val="21"/>
        </w:rPr>
        <w:t>"Ask ARIA" — RAG semantic search over policy and control text</w:t>
      </w:r>
    </w:p>
    <w:p>
      <w:pPr>
        <w:pStyle w:val="ListBullet"/>
        <w:spacing w:after="40"/>
      </w:pPr>
      <w:r>
        <w:rPr>
          <w:color w:val="1E293B"/>
          <w:sz w:val="21"/>
        </w:rPr>
        <w:t>Compliance mapping visualisation across frameworks</w:t>
      </w:r>
    </w:p>
    <w:p>
      <w:pPr>
        <w:pStyle w:val="ListBullet"/>
        <w:spacing w:after="40"/>
      </w:pPr>
      <w:r>
        <w:rPr>
          <w:color w:val="1E293B"/>
          <w:sz w:val="21"/>
        </w:rPr>
        <w:t>Control re-evaluation triggers from GRID audit findings</w:t>
      </w:r>
    </w:p>
    <w:p/>
    <w:p>
      <w:pPr>
        <w:spacing w:after="80"/>
      </w:pPr>
      <w:r>
        <w:rPr>
          <w:b/>
          <w:color w:val="64748B"/>
          <w:sz w:val="20"/>
        </w:rPr>
        <w:t xml:space="preserve">Events emitted:  </w:t>
      </w:r>
      <w:r>
        <w:rPr>
          <w:color w:val="7E8062"/>
          <w:sz w:val="20"/>
        </w:rPr>
        <w:t xml:space="preserve">aria.policy.published   </w:t>
      </w:r>
      <w:r>
        <w:rPr>
          <w:color w:val="7E8062"/>
          <w:sz w:val="20"/>
        </w:rPr>
        <w:t xml:space="preserve">aria.policy.updated   </w:t>
      </w:r>
      <w:r>
        <w:rPr>
          <w:color w:val="7E8062"/>
          <w:sz w:val="20"/>
        </w:rPr>
        <w:t xml:space="preserve">aria.risk.created   </w:t>
      </w:r>
      <w:r>
        <w:rPr>
          <w:color w:val="7E8062"/>
          <w:sz w:val="20"/>
        </w:rPr>
        <w:t xml:space="preserve">aria.risk.escalated   </w:t>
      </w:r>
      <w:r>
        <w:rPr>
          <w:color w:val="7E8062"/>
          <w:sz w:val="20"/>
        </w:rPr>
        <w:t>aria.control.updated</w:t>
      </w:r>
    </w:p>
    <w:p>
      <w:r>
        <w:rPr>
          <w:b/>
          <w:color w:val="64748B"/>
          <w:sz w:val="20"/>
        </w:rPr>
        <w:t xml:space="preserve">Database tables:  </w:t>
      </w:r>
      <w:r>
        <w:rPr>
          <w:color w:val="7E8062"/>
          <w:sz w:val="19"/>
        </w:rPr>
        <w:t xml:space="preserve">aria_frameworks   </w:t>
      </w:r>
      <w:r>
        <w:rPr>
          <w:color w:val="7E8062"/>
          <w:sz w:val="19"/>
        </w:rPr>
        <w:t xml:space="preserve">aria_controls   </w:t>
      </w:r>
      <w:r>
        <w:rPr>
          <w:color w:val="7E8062"/>
          <w:sz w:val="19"/>
        </w:rPr>
        <w:t xml:space="preserve">aria_control_mappings   </w:t>
      </w:r>
      <w:r>
        <w:rPr>
          <w:color w:val="7E8062"/>
          <w:sz w:val="19"/>
        </w:rPr>
        <w:t xml:space="preserve">aria_policies   </w:t>
      </w:r>
      <w:r>
        <w:rPr>
          <w:color w:val="7E8062"/>
          <w:sz w:val="19"/>
        </w:rPr>
        <w:t xml:space="preserve">aria_risks   </w:t>
      </w:r>
      <w:r>
        <w:rPr>
          <w:color w:val="7E8062"/>
          <w:sz w:val="19"/>
        </w:rPr>
        <w:t xml:space="preserve">aria_documents   </w:t>
      </w:r>
      <w:r>
        <w:rPr>
          <w:color w:val="7E8062"/>
          <w:sz w:val="19"/>
        </w:rPr>
        <w:t xml:space="preserve">aria_evidence   </w:t>
      </w:r>
      <w:r>
        <w:rPr>
          <w:color w:val="7E8062"/>
          <w:sz w:val="19"/>
        </w:rPr>
        <w:t xml:space="preserve">aria_ask_index (FTS5)   </w:t>
      </w:r>
    </w:p>
    <w:p/>
    <w:tbl>
      <w:tblPr>
        <w:tblW w:type="auto" w:w="0"/>
        <w:jc w:val="left"/>
        <w:tblLook w:firstColumn="1" w:firstRow="1" w:lastColumn="0" w:lastRow="0" w:noHBand="0" w:noVBand="1" w:val="04A0"/>
      </w:tblPr>
      <w:tblGrid>
        <w:gridCol w:w="9406"/>
      </w:tblGrid>
      <w:tr>
        <w:tc>
          <w:tcPr>
            <w:tcW w:type="dxa" w:w="9406"/>
            <w:shd w:val="clear" w:color="auto" w:fill="1A6B3A"/>
          </w:tcPr>
          <w:p>
            <w:r>
              <w:rPr>
                <w:b/>
                <w:color w:val="FFFFFF"/>
                <w:sz w:val="28"/>
              </w:rPr>
              <w:t xml:space="preserve">  GRID — Audit Management</w:t>
            </w:r>
          </w:p>
          <w:p>
            <w:r>
              <w:rPr>
                <w:color w:val="DDDDDD"/>
                <w:sz w:val="20"/>
              </w:rPr>
              <w:t xml:space="preserve">  Audit scheduling, evidence capture, non-conformance tracking and compliance scoring</w:t>
            </w:r>
          </w:p>
        </w:tc>
      </w:tr>
    </w:tbl>
    <w:p/>
    <w:p>
      <w:pPr>
        <w:spacing w:after="80"/>
      </w:pPr>
      <w:r>
        <w:rPr>
          <w:b/>
          <w:i w:val="0"/>
          <w:color w:val="1A6B3A"/>
          <w:sz w:val="22"/>
        </w:rPr>
        <w:t>Features</w:t>
      </w:r>
    </w:p>
    <w:p>
      <w:pPr>
        <w:pStyle w:val="ListBullet"/>
        <w:spacing w:after="40"/>
      </w:pPr>
      <w:r>
        <w:rPr>
          <w:color w:val="1E293B"/>
          <w:sz w:val="21"/>
        </w:rPr>
        <w:t>Audit scheduling and control sampling</w:t>
      </w:r>
    </w:p>
    <w:p>
      <w:pPr>
        <w:pStyle w:val="ListBullet"/>
        <w:spacing w:after="40"/>
      </w:pPr>
      <w:r>
        <w:rPr>
          <w:color w:val="1E293B"/>
          <w:sz w:val="21"/>
        </w:rPr>
        <w:t>Evidence capture with file upload and versioning</w:t>
      </w:r>
    </w:p>
    <w:p>
      <w:pPr>
        <w:pStyle w:val="ListBullet"/>
        <w:spacing w:after="40"/>
      </w:pPr>
      <w:r>
        <w:rPr>
          <w:color w:val="1E293B"/>
          <w:sz w:val="21"/>
        </w:rPr>
        <w:t>Non-conformance (NC) tracking and gap analysis</w:t>
      </w:r>
    </w:p>
    <w:p>
      <w:pPr>
        <w:pStyle w:val="ListBullet"/>
        <w:spacing w:after="40"/>
      </w:pPr>
      <w:r>
        <w:rPr>
          <w:color w:val="1E293B"/>
          <w:sz w:val="21"/>
        </w:rPr>
        <w:t>Compliance scoring cached per audit and framework</w:t>
      </w:r>
    </w:p>
    <w:p>
      <w:pPr>
        <w:pStyle w:val="ListBullet"/>
        <w:spacing w:after="40"/>
      </w:pPr>
      <w:r>
        <w:rPr>
          <w:color w:val="1E293B"/>
          <w:sz w:val="21"/>
        </w:rPr>
        <w:t>PDF &amp; DOCX branded audit report generation</w:t>
      </w:r>
    </w:p>
    <w:p>
      <w:pPr>
        <w:pStyle w:val="ListBullet"/>
        <w:spacing w:after="40"/>
      </w:pPr>
      <w:r>
        <w:rPr>
          <w:color w:val="1E293B"/>
          <w:sz w:val="21"/>
        </w:rPr>
        <w:t>Cross-module vendor profile integration</w:t>
      </w:r>
    </w:p>
    <w:p>
      <w:pPr>
        <w:pStyle w:val="ListBullet"/>
        <w:spacing w:after="40"/>
      </w:pPr>
      <w:r>
        <w:rPr>
          <w:color w:val="1E293B"/>
          <w:sz w:val="21"/>
        </w:rPr>
        <w:t>Audit timeline, reminders and approval workflows</w:t>
      </w:r>
    </w:p>
    <w:p>
      <w:pPr>
        <w:pStyle w:val="ListBullet"/>
        <w:spacing w:after="40"/>
      </w:pPr>
      <w:r>
        <w:rPr>
          <w:color w:val="1E293B"/>
          <w:sz w:val="21"/>
        </w:rPr>
        <w:t>AI-assisted finding write-up</w:t>
      </w:r>
    </w:p>
    <w:p>
      <w:pPr>
        <w:pStyle w:val="ListBullet"/>
        <w:spacing w:after="40"/>
      </w:pPr>
      <w:r>
        <w:rPr>
          <w:color w:val="1E293B"/>
          <w:sz w:val="21"/>
        </w:rPr>
        <w:t>Background scheduler for escalations and weekly backups</w:t>
      </w:r>
    </w:p>
    <w:p>
      <w:pPr>
        <w:pStyle w:val="ListBullet"/>
        <w:spacing w:after="40"/>
      </w:pPr>
      <w:r>
        <w:rPr>
          <w:color w:val="1E293B"/>
          <w:sz w:val="21"/>
        </w:rPr>
        <w:t>Post-incident audit creation on Sentinel breach confirmation</w:t>
      </w:r>
    </w:p>
    <w:p/>
    <w:p>
      <w:pPr>
        <w:spacing w:after="80"/>
      </w:pPr>
      <w:r>
        <w:rPr>
          <w:b/>
          <w:color w:val="64748B"/>
          <w:sz w:val="20"/>
        </w:rPr>
        <w:t xml:space="preserve">Events emitted:  </w:t>
      </w:r>
      <w:r>
        <w:rPr>
          <w:color w:val="1A6B3A"/>
          <w:sz w:val="20"/>
        </w:rPr>
        <w:t xml:space="preserve">grid.audit.completed   </w:t>
      </w:r>
      <w:r>
        <w:rPr>
          <w:color w:val="1A6B3A"/>
          <w:sz w:val="20"/>
        </w:rPr>
        <w:t xml:space="preserve">grid.finding.created   </w:t>
      </w:r>
      <w:r>
        <w:rPr>
          <w:color w:val="1A6B3A"/>
          <w:sz w:val="20"/>
        </w:rPr>
        <w:t xml:space="preserve">grid.non_conformance.raised   </w:t>
      </w:r>
      <w:r>
        <w:rPr>
          <w:color w:val="1A6B3A"/>
          <w:sz w:val="20"/>
        </w:rPr>
        <w:t xml:space="preserve">grid.policy.requested   </w:t>
      </w:r>
      <w:r>
        <w:rPr>
          <w:color w:val="1A6B3A"/>
          <w:sz w:val="20"/>
        </w:rPr>
        <w:t>vendor.created</w:t>
      </w:r>
    </w:p>
    <w:p>
      <w:r>
        <w:rPr>
          <w:b/>
          <w:color w:val="64748B"/>
          <w:sz w:val="20"/>
        </w:rPr>
        <w:t xml:space="preserve">Database tables:  </w:t>
      </w:r>
      <w:r>
        <w:rPr>
          <w:color w:val="1A6B3A"/>
          <w:sz w:val="19"/>
        </w:rPr>
        <w:t xml:space="preserve">grid_audits   </w:t>
      </w:r>
      <w:r>
        <w:rPr>
          <w:color w:val="1A6B3A"/>
          <w:sz w:val="19"/>
        </w:rPr>
        <w:t xml:space="preserve">grid_controls   </w:t>
      </w:r>
      <w:r>
        <w:rPr>
          <w:color w:val="1A6B3A"/>
          <w:sz w:val="19"/>
        </w:rPr>
        <w:t xml:space="preserve">grid_evidence_items   </w:t>
      </w:r>
      <w:r>
        <w:rPr>
          <w:color w:val="1A6B3A"/>
          <w:sz w:val="19"/>
        </w:rPr>
        <w:t xml:space="preserve">grid_evidence_files   </w:t>
      </w:r>
      <w:r>
        <w:rPr>
          <w:color w:val="1A6B3A"/>
          <w:sz w:val="19"/>
        </w:rPr>
        <w:t xml:space="preserve">grid_findings   </w:t>
      </w:r>
      <w:r>
        <w:rPr>
          <w:color w:val="1A6B3A"/>
          <w:sz w:val="19"/>
        </w:rPr>
        <w:t xml:space="preserve">grid_non_conformances   </w:t>
      </w:r>
      <w:r>
        <w:rPr>
          <w:color w:val="1A6B3A"/>
          <w:sz w:val="19"/>
        </w:rPr>
        <w:t xml:space="preserve">grid_vendors   </w:t>
      </w:r>
      <w:r>
        <w:rPr>
          <w:color w:val="1A6B3A"/>
          <w:sz w:val="19"/>
        </w:rPr>
        <w:t xml:space="preserve">grid_compliance_scores   </w:t>
      </w:r>
      <w:r>
        <w:rPr>
          <w:color w:val="1A6B3A"/>
          <w:sz w:val="19"/>
        </w:rPr>
        <w:t xml:space="preserve">grid_timeline   </w:t>
      </w:r>
      <w:r>
        <w:rPr>
          <w:color w:val="1A6B3A"/>
          <w:sz w:val="19"/>
        </w:rPr>
        <w:t xml:space="preserve">grid_reports   </w:t>
      </w:r>
      <w:r>
        <w:rPr>
          <w:color w:val="1A6B3A"/>
          <w:sz w:val="19"/>
        </w:rPr>
        <w:t xml:space="preserve">grid_reminders   </w:t>
      </w:r>
      <w:r>
        <w:rPr>
          <w:color w:val="1A6B3A"/>
          <w:sz w:val="19"/>
        </w:rPr>
        <w:t xml:space="preserve">grid_approval_requests   </w:t>
      </w:r>
    </w:p>
    <w:p/>
    <w:tbl>
      <w:tblPr>
        <w:tblW w:type="auto" w:w="0"/>
        <w:jc w:val="left"/>
        <w:tblLook w:firstColumn="1" w:firstRow="1" w:lastColumn="0" w:lastRow="0" w:noHBand="0" w:noVBand="1" w:val="04A0"/>
      </w:tblPr>
      <w:tblGrid>
        <w:gridCol w:w="9406"/>
      </w:tblGrid>
      <w:tr>
        <w:tc>
          <w:tcPr>
            <w:tcW w:type="dxa" w:w="9406"/>
            <w:shd w:val="clear" w:color="auto" w:fill="3D4660"/>
          </w:tcPr>
          <w:p>
            <w:r>
              <w:rPr>
                <w:b/>
                <w:color w:val="FFFFFF"/>
                <w:sz w:val="28"/>
              </w:rPr>
              <w:t xml:space="preserve">  BCM — Business Continuity Management</w:t>
            </w:r>
          </w:p>
          <w:p>
            <w:r>
              <w:rPr>
                <w:color w:val="DDDDDD"/>
                <w:sz w:val="20"/>
              </w:rPr>
              <w:t xml:space="preserve">  BIA, continuity plans, incident management and vendor dependency mapping</w:t>
            </w:r>
          </w:p>
        </w:tc>
      </w:tr>
    </w:tbl>
    <w:p/>
    <w:p>
      <w:pPr>
        <w:spacing w:after="80"/>
      </w:pPr>
      <w:r>
        <w:rPr>
          <w:b/>
          <w:i w:val="0"/>
          <w:color w:val="3D4660"/>
          <w:sz w:val="22"/>
        </w:rPr>
        <w:t>Features</w:t>
      </w:r>
    </w:p>
    <w:p>
      <w:pPr>
        <w:pStyle w:val="ListBullet"/>
        <w:spacing w:after="40"/>
      </w:pPr>
      <w:r>
        <w:rPr>
          <w:color w:val="1E293B"/>
          <w:sz w:val="21"/>
        </w:rPr>
        <w:t>Business Impact Analysis (BIA) with criticality scoring</w:t>
      </w:r>
    </w:p>
    <w:p>
      <w:pPr>
        <w:pStyle w:val="ListBullet"/>
        <w:spacing w:after="40"/>
      </w:pPr>
      <w:r>
        <w:rPr>
          <w:color w:val="1E293B"/>
          <w:sz w:val="21"/>
        </w:rPr>
        <w:t>Continuity plan creation, approval and activation workflow</w:t>
      </w:r>
    </w:p>
    <w:p>
      <w:pPr>
        <w:pStyle w:val="ListBullet"/>
        <w:spacing w:after="40"/>
      </w:pPr>
      <w:r>
        <w:rPr>
          <w:color w:val="1E293B"/>
          <w:sz w:val="21"/>
        </w:rPr>
        <w:t>Live incident management with real-time chat console</w:t>
      </w:r>
    </w:p>
    <w:p>
      <w:pPr>
        <w:pStyle w:val="ListBullet"/>
        <w:spacing w:after="40"/>
      </w:pPr>
      <w:r>
        <w:rPr>
          <w:color w:val="1E293B"/>
          <w:sz w:val="21"/>
        </w:rPr>
        <w:t>Incident exercises and training programme tracking</w:t>
      </w:r>
    </w:p>
    <w:p>
      <w:pPr>
        <w:pStyle w:val="ListBullet"/>
        <w:spacing w:after="40"/>
      </w:pPr>
      <w:r>
        <w:rPr>
          <w:color w:val="1E293B"/>
          <w:sz w:val="21"/>
        </w:rPr>
        <w:t>Vendor and business dependency mapping</w:t>
      </w:r>
    </w:p>
    <w:p>
      <w:pPr>
        <w:pStyle w:val="ListBullet"/>
        <w:spacing w:after="40"/>
      </w:pPr>
      <w:r>
        <w:rPr>
          <w:color w:val="1E293B"/>
          <w:sz w:val="21"/>
        </w:rPr>
        <w:t>Scheduled plan review reminders</w:t>
      </w:r>
    </w:p>
    <w:p>
      <w:pPr>
        <w:pStyle w:val="ListBullet"/>
        <w:spacing w:after="40"/>
      </w:pPr>
      <w:r>
        <w:rPr>
          <w:color w:val="1E293B"/>
          <w:sz w:val="21"/>
        </w:rPr>
        <w:t>AI-assisted continuity plan generation</w:t>
      </w:r>
    </w:p>
    <w:p>
      <w:pPr>
        <w:pStyle w:val="ListBullet"/>
        <w:spacing w:after="40"/>
      </w:pPr>
      <w:r>
        <w:rPr>
          <w:color w:val="1E293B"/>
          <w:sz w:val="21"/>
        </w:rPr>
        <w:t>Auto-escalates to Sentinel on SEV-1/2 incidents</w:t>
      </w:r>
    </w:p>
    <w:p/>
    <w:p>
      <w:pPr>
        <w:spacing w:after="80"/>
      </w:pPr>
      <w:r>
        <w:rPr>
          <w:b/>
          <w:color w:val="64748B"/>
          <w:sz w:val="20"/>
        </w:rPr>
        <w:t xml:space="preserve">Events emitted:  </w:t>
      </w:r>
      <w:r>
        <w:rPr>
          <w:color w:val="3D4660"/>
          <w:sz w:val="20"/>
        </w:rPr>
        <w:t xml:space="preserve">bcm.incident.declared   </w:t>
      </w:r>
      <w:r>
        <w:rPr>
          <w:color w:val="3D4660"/>
          <w:sz w:val="20"/>
        </w:rPr>
        <w:t xml:space="preserve">bcm.incident.resolved   </w:t>
      </w:r>
      <w:r>
        <w:rPr>
          <w:color w:val="3D4660"/>
          <w:sz w:val="20"/>
        </w:rPr>
        <w:t xml:space="preserve">bcm.risk.escalated   </w:t>
      </w:r>
      <w:r>
        <w:rPr>
          <w:color w:val="3D4660"/>
          <w:sz w:val="20"/>
        </w:rPr>
        <w:t xml:space="preserve">bcm.plan.approved   </w:t>
      </w:r>
      <w:r>
        <w:rPr>
          <w:color w:val="3D4660"/>
          <w:sz w:val="20"/>
        </w:rPr>
        <w:t xml:space="preserve">bcm.plan.activated   </w:t>
      </w:r>
      <w:r>
        <w:rPr>
          <w:color w:val="3D4660"/>
          <w:sz w:val="20"/>
        </w:rPr>
        <w:t>vendor.created</w:t>
      </w:r>
    </w:p>
    <w:p>
      <w:r>
        <w:rPr>
          <w:b/>
          <w:color w:val="64748B"/>
          <w:sz w:val="20"/>
        </w:rPr>
        <w:t xml:space="preserve">Database tables:  </w:t>
      </w:r>
      <w:r>
        <w:rPr>
          <w:color w:val="3D4660"/>
          <w:sz w:val="19"/>
        </w:rPr>
        <w:t xml:space="preserve">bcm_bia   </w:t>
      </w:r>
      <w:r>
        <w:rPr>
          <w:color w:val="3D4660"/>
          <w:sz w:val="19"/>
        </w:rPr>
        <w:t xml:space="preserve">bcm_risks   </w:t>
      </w:r>
      <w:r>
        <w:rPr>
          <w:color w:val="3D4660"/>
          <w:sz w:val="19"/>
        </w:rPr>
        <w:t xml:space="preserve">bcm_plans   </w:t>
      </w:r>
      <w:r>
        <w:rPr>
          <w:color w:val="3D4660"/>
          <w:sz w:val="19"/>
        </w:rPr>
        <w:t xml:space="preserve">bcm_incidents   </w:t>
      </w:r>
      <w:r>
        <w:rPr>
          <w:color w:val="3D4660"/>
          <w:sz w:val="19"/>
        </w:rPr>
        <w:t xml:space="preserve">bcm_incident_chat   </w:t>
      </w:r>
      <w:r>
        <w:rPr>
          <w:color w:val="3D4660"/>
          <w:sz w:val="19"/>
        </w:rPr>
        <w:t xml:space="preserve">bcm_incident_updates   </w:t>
      </w:r>
      <w:r>
        <w:rPr>
          <w:color w:val="3D4660"/>
          <w:sz w:val="19"/>
        </w:rPr>
        <w:t xml:space="preserve">bcm_exercises   </w:t>
      </w:r>
      <w:r>
        <w:rPr>
          <w:color w:val="3D4660"/>
          <w:sz w:val="19"/>
        </w:rPr>
        <w:t xml:space="preserve">bcm_training   </w:t>
      </w:r>
      <w:r>
        <w:rPr>
          <w:color w:val="3D4660"/>
          <w:sz w:val="19"/>
        </w:rPr>
        <w:t xml:space="preserve">bcm_vendors   </w:t>
      </w:r>
      <w:r>
        <w:rPr>
          <w:color w:val="3D4660"/>
          <w:sz w:val="19"/>
        </w:rPr>
        <w:t xml:space="preserve">bcm_dependencies   </w:t>
      </w:r>
      <w:r>
        <w:rPr>
          <w:color w:val="3D4660"/>
          <w:sz w:val="19"/>
        </w:rPr>
        <w:t xml:space="preserve">bcm_plan_reviews   </w:t>
      </w:r>
      <w:r>
        <w:rPr>
          <w:color w:val="3D4660"/>
          <w:sz w:val="19"/>
        </w:rPr>
        <w:t xml:space="preserve">bcm_documents   </w:t>
      </w:r>
    </w:p>
    <w:p/>
    <w:tbl>
      <w:tblPr>
        <w:tblW w:type="auto" w:w="0"/>
        <w:jc w:val="left"/>
        <w:tblLook w:firstColumn="1" w:firstRow="1" w:lastColumn="0" w:lastRow="0" w:noHBand="0" w:noVBand="1" w:val="04A0"/>
      </w:tblPr>
      <w:tblGrid>
        <w:gridCol w:w="9406"/>
      </w:tblGrid>
      <w:tr>
        <w:tc>
          <w:tcPr>
            <w:tcW w:type="dxa" w:w="9406"/>
            <w:shd w:val="clear" w:color="auto" w:fill="1A3460"/>
          </w:tcPr>
          <w:p>
            <w:r>
              <w:rPr>
                <w:b/>
                <w:color w:val="FFFFFF"/>
                <w:sz w:val="28"/>
              </w:rPr>
              <w:t xml:space="preserve">  Sentinel — Data Protection &amp; Privacy</w:t>
            </w:r>
          </w:p>
          <w:p>
            <w:r>
              <w:rPr>
                <w:color w:val="DDDDDD"/>
                <w:sz w:val="20"/>
              </w:rPr>
              <w:t xml:space="preserve">  RoPA, DPIA, breach notification, DSR management across 27 jurisdictions</w:t>
            </w:r>
          </w:p>
        </w:tc>
      </w:tr>
    </w:tbl>
    <w:p/>
    <w:p>
      <w:pPr>
        <w:spacing w:after="80"/>
      </w:pPr>
      <w:r>
        <w:rPr>
          <w:b/>
          <w:i w:val="0"/>
          <w:color w:val="1A3460"/>
          <w:sz w:val="22"/>
        </w:rPr>
        <w:t>Features</w:t>
      </w:r>
    </w:p>
    <w:p>
      <w:pPr>
        <w:pStyle w:val="ListBullet"/>
        <w:spacing w:after="40"/>
      </w:pPr>
      <w:r>
        <w:rPr>
          <w:color w:val="1E293B"/>
          <w:sz w:val="21"/>
        </w:rPr>
        <w:t>Record of Processing Activity (RoPA) management</w:t>
      </w:r>
    </w:p>
    <w:p>
      <w:pPr>
        <w:pStyle w:val="ListBullet"/>
        <w:spacing w:after="40"/>
      </w:pPr>
      <w:r>
        <w:rPr>
          <w:color w:val="1E293B"/>
          <w:sz w:val="21"/>
        </w:rPr>
        <w:t>Data Protection Impact Assessment (DPIA) workflow</w:t>
      </w:r>
    </w:p>
    <w:p>
      <w:pPr>
        <w:pStyle w:val="ListBullet"/>
        <w:spacing w:after="40"/>
      </w:pPr>
      <w:r>
        <w:rPr>
          <w:color w:val="1E293B"/>
          <w:sz w:val="21"/>
        </w:rPr>
        <w:t>Breach notification with 72-hour regulatory countdown</w:t>
      </w:r>
    </w:p>
    <w:p>
      <w:pPr>
        <w:pStyle w:val="ListBullet"/>
        <w:spacing w:after="40"/>
      </w:pPr>
      <w:r>
        <w:rPr>
          <w:color w:val="1E293B"/>
          <w:sz w:val="21"/>
        </w:rPr>
        <w:t>Data Subject Request (DSR) management and deadlines</w:t>
      </w:r>
    </w:p>
    <w:p>
      <w:pPr>
        <w:pStyle w:val="ListBullet"/>
        <w:spacing w:after="40"/>
      </w:pPr>
      <w:r>
        <w:rPr>
          <w:color w:val="1E293B"/>
          <w:sz w:val="21"/>
        </w:rPr>
        <w:t>Consent and legal basis tracking per processing activity</w:t>
      </w:r>
    </w:p>
    <w:p>
      <w:pPr>
        <w:pStyle w:val="ListBullet"/>
        <w:spacing w:after="40"/>
      </w:pPr>
      <w:r>
        <w:rPr>
          <w:color w:val="1E293B"/>
          <w:sz w:val="21"/>
        </w:rPr>
        <w:t>Retention policies and automated schedule enforcement</w:t>
      </w:r>
    </w:p>
    <w:p>
      <w:pPr>
        <w:pStyle w:val="ListBullet"/>
        <w:spacing w:after="40"/>
      </w:pPr>
      <w:r>
        <w:rPr>
          <w:color w:val="1E293B"/>
          <w:sz w:val="21"/>
        </w:rPr>
        <w:t>International data transfer tracking</w:t>
      </w:r>
    </w:p>
    <w:p>
      <w:pPr>
        <w:pStyle w:val="ListBullet"/>
        <w:spacing w:after="40"/>
      </w:pPr>
      <w:r>
        <w:rPr>
          <w:color w:val="1E293B"/>
          <w:sz w:val="21"/>
        </w:rPr>
        <w:t>Privacy notices and data controller management</w:t>
      </w:r>
    </w:p>
    <w:p>
      <w:pPr>
        <w:pStyle w:val="ListBullet"/>
        <w:spacing w:after="40"/>
      </w:pPr>
      <w:r>
        <w:rPr>
          <w:color w:val="1E293B"/>
          <w:sz w:val="21"/>
        </w:rPr>
        <w:t>Legitimate Interest Assessments (LIAs)</w:t>
      </w:r>
    </w:p>
    <w:p>
      <w:pPr>
        <w:pStyle w:val="ListBullet"/>
        <w:spacing w:after="40"/>
      </w:pPr>
      <w:r>
        <w:rPr>
          <w:color w:val="1E293B"/>
          <w:sz w:val="21"/>
        </w:rPr>
        <w:t>Security measures catalogue</w:t>
      </w:r>
    </w:p>
    <w:p>
      <w:pPr>
        <w:pStyle w:val="ListBullet"/>
        <w:spacing w:after="40"/>
      </w:pPr>
      <w:r>
        <w:rPr>
          <w:color w:val="1E293B"/>
          <w:sz w:val="21"/>
        </w:rPr>
        <w:t>27 jurisdictions: GDPR, UK GDPR, LGPD, CCPA, CDPA and more</w:t>
      </w:r>
    </w:p>
    <w:p>
      <w:pPr>
        <w:pStyle w:val="ListBullet"/>
        <w:spacing w:after="40"/>
      </w:pPr>
      <w:r>
        <w:rPr>
          <w:color w:val="1E293B"/>
          <w:sz w:val="21"/>
        </w:rPr>
        <w:t>AI-assisted DPIA, RoPA and breach analysis</w:t>
      </w:r>
    </w:p>
    <w:p/>
    <w:p>
      <w:pPr>
        <w:spacing w:after="80"/>
      </w:pPr>
      <w:r>
        <w:rPr>
          <w:b/>
          <w:color w:val="64748B"/>
          <w:sz w:val="20"/>
        </w:rPr>
        <w:t xml:space="preserve">Events emitted:  </w:t>
      </w:r>
      <w:r>
        <w:rPr>
          <w:color w:val="1A3460"/>
          <w:sz w:val="20"/>
        </w:rPr>
        <w:t xml:space="preserve">sentinel.breach.confirmed   </w:t>
      </w:r>
      <w:r>
        <w:rPr>
          <w:color w:val="1A3460"/>
          <w:sz w:val="20"/>
        </w:rPr>
        <w:t xml:space="preserve">sentinel.breach.resolved   </w:t>
      </w:r>
      <w:r>
        <w:rPr>
          <w:color w:val="1A3460"/>
          <w:sz w:val="20"/>
        </w:rPr>
        <w:t xml:space="preserve">sentinel.dpia.completed   </w:t>
      </w:r>
      <w:r>
        <w:rPr>
          <w:color w:val="1A3460"/>
          <w:sz w:val="20"/>
        </w:rPr>
        <w:t xml:space="preserve">sentinel.dsr.overdue   </w:t>
      </w:r>
      <w:r>
        <w:rPr>
          <w:color w:val="1A3460"/>
          <w:sz w:val="20"/>
        </w:rPr>
        <w:t>vendor.created</w:t>
      </w:r>
    </w:p>
    <w:p>
      <w:r>
        <w:rPr>
          <w:b/>
          <w:color w:val="64748B"/>
          <w:sz w:val="20"/>
        </w:rPr>
        <w:t xml:space="preserve">Database tables:  </w:t>
      </w:r>
      <w:r>
        <w:rPr>
          <w:color w:val="1A3460"/>
          <w:sz w:val="19"/>
        </w:rPr>
        <w:t xml:space="preserve">sentinel_ropa   </w:t>
      </w:r>
      <w:r>
        <w:rPr>
          <w:color w:val="1A3460"/>
          <w:sz w:val="19"/>
        </w:rPr>
        <w:t xml:space="preserve">sentinel_dpias   </w:t>
      </w:r>
      <w:r>
        <w:rPr>
          <w:color w:val="1A3460"/>
          <w:sz w:val="19"/>
        </w:rPr>
        <w:t xml:space="preserve">sentinel_breaches   </w:t>
      </w:r>
      <w:r>
        <w:rPr>
          <w:color w:val="1A3460"/>
          <w:sz w:val="19"/>
        </w:rPr>
        <w:t xml:space="preserve">sentinel_dsr   </w:t>
      </w:r>
      <w:r>
        <w:rPr>
          <w:color w:val="1A3460"/>
          <w:sz w:val="19"/>
        </w:rPr>
        <w:t xml:space="preserve">sentinel_consent   </w:t>
      </w:r>
      <w:r>
        <w:rPr>
          <w:color w:val="1A3460"/>
          <w:sz w:val="19"/>
        </w:rPr>
        <w:t xml:space="preserve">sentinel_retention   </w:t>
      </w:r>
      <w:r>
        <w:rPr>
          <w:color w:val="1A3460"/>
          <w:sz w:val="19"/>
        </w:rPr>
        <w:t xml:space="preserve">sentinel_transfers   </w:t>
      </w:r>
      <w:r>
        <w:rPr>
          <w:color w:val="1A3460"/>
          <w:sz w:val="19"/>
        </w:rPr>
        <w:t xml:space="preserve">sentinel_lias   </w:t>
      </w:r>
      <w:r>
        <w:rPr>
          <w:color w:val="1A3460"/>
          <w:sz w:val="19"/>
        </w:rPr>
        <w:t xml:space="preserve">sentinel_security_measures   </w:t>
      </w:r>
      <w:r>
        <w:rPr>
          <w:color w:val="1A3460"/>
          <w:sz w:val="19"/>
        </w:rPr>
        <w:t xml:space="preserve">sentinel_vendors   </w:t>
      </w:r>
      <w:r>
        <w:rPr>
          <w:color w:val="1A3460"/>
          <w:sz w:val="19"/>
        </w:rPr>
        <w:t xml:space="preserve">sentinel_jurisdiction_config   </w:t>
      </w:r>
      <w:r>
        <w:rPr>
          <w:color w:val="1A3460"/>
          <w:sz w:val="19"/>
        </w:rPr>
        <w:t xml:space="preserve">sentinel_controllers   </w:t>
      </w:r>
    </w:p>
    <w:p/>
    <w:tbl>
      <w:tblPr>
        <w:tblW w:type="auto" w:w="0"/>
        <w:jc w:val="left"/>
        <w:tblLook w:firstColumn="1" w:firstRow="1" w:lastColumn="0" w:lastRow="0" w:noHBand="0" w:noVBand="1" w:val="04A0"/>
      </w:tblPr>
      <w:tblGrid>
        <w:gridCol w:w="9406"/>
      </w:tblGrid>
      <w:tr>
        <w:tc>
          <w:tcPr>
            <w:tcW w:type="dxa" w:w="9406"/>
            <w:shd w:val="clear" w:color="auto" w:fill="7C1220"/>
          </w:tcPr>
          <w:p>
            <w:r>
              <w:rPr>
                <w:b/>
                <w:color w:val="FFFFFF"/>
                <w:sz w:val="28"/>
              </w:rPr>
              <w:t xml:space="preserve">  ERM — Enterprise Risk Management</w:t>
            </w:r>
          </w:p>
          <w:p>
            <w:r>
              <w:rPr>
                <w:color w:val="DDDDDD"/>
                <w:sz w:val="20"/>
              </w:rPr>
              <w:t xml:space="preserve">  Enterprise risk register, risk appetite, obligations and cross-module aggregation</w:t>
            </w:r>
          </w:p>
        </w:tc>
      </w:tr>
    </w:tbl>
    <w:p/>
    <w:p>
      <w:pPr>
        <w:spacing w:after="80"/>
      </w:pPr>
      <w:r>
        <w:rPr>
          <w:b/>
          <w:i w:val="0"/>
          <w:color w:val="7C1220"/>
          <w:sz w:val="22"/>
        </w:rPr>
        <w:t>Features</w:t>
      </w:r>
    </w:p>
    <w:p>
      <w:pPr>
        <w:pStyle w:val="ListBullet"/>
        <w:spacing w:after="40"/>
      </w:pPr>
      <w:r>
        <w:rPr>
          <w:color w:val="1E293B"/>
          <w:sz w:val="21"/>
        </w:rPr>
        <w:t>Enterprise risk register aggregating all modules</w:t>
      </w:r>
    </w:p>
    <w:p>
      <w:pPr>
        <w:pStyle w:val="ListBullet"/>
        <w:spacing w:after="40"/>
      </w:pPr>
      <w:r>
        <w:rPr>
          <w:color w:val="1E293B"/>
          <w:sz w:val="21"/>
        </w:rPr>
        <w:t>Risk appetite threshold definition and breach monitoring</w:t>
      </w:r>
    </w:p>
    <w:p>
      <w:pPr>
        <w:pStyle w:val="ListBullet"/>
        <w:spacing w:after="40"/>
      </w:pPr>
      <w:r>
        <w:rPr>
          <w:color w:val="1E293B"/>
          <w:sz w:val="21"/>
        </w:rPr>
        <w:t>Risk library and category management</w:t>
      </w:r>
    </w:p>
    <w:p>
      <w:pPr>
        <w:pStyle w:val="ListBullet"/>
        <w:spacing w:after="40"/>
      </w:pPr>
      <w:r>
        <w:rPr>
          <w:color w:val="1E293B"/>
          <w:sz w:val="21"/>
        </w:rPr>
        <w:t>Regulatory obligation tracking (jurisdiction-aware)</w:t>
      </w:r>
    </w:p>
    <w:p>
      <w:pPr>
        <w:pStyle w:val="ListBullet"/>
        <w:spacing w:after="40"/>
      </w:pPr>
      <w:r>
        <w:rPr>
          <w:color w:val="1E293B"/>
          <w:sz w:val="21"/>
        </w:rPr>
        <w:t>Risk assessment workflow with treatment tracking</w:t>
      </w:r>
    </w:p>
    <w:p>
      <w:pPr>
        <w:pStyle w:val="ListBullet"/>
        <w:spacing w:after="40"/>
      </w:pPr>
      <w:r>
        <w:rPr>
          <w:color w:val="1E293B"/>
          <w:sz w:val="21"/>
        </w:rPr>
        <w:t>Auto-receives risks escalated from ARIA, BCM, ORM and Sentinel</w:t>
      </w:r>
    </w:p>
    <w:p/>
    <w:p>
      <w:pPr>
        <w:spacing w:after="80"/>
      </w:pPr>
      <w:r>
        <w:rPr>
          <w:b/>
          <w:color w:val="64748B"/>
          <w:sz w:val="20"/>
        </w:rPr>
        <w:t xml:space="preserve">Events emitted:  </w:t>
      </w:r>
      <w:r>
        <w:rPr>
          <w:color w:val="7C1220"/>
          <w:sz w:val="20"/>
        </w:rPr>
        <w:t xml:space="preserve">erm.risk.identified   </w:t>
      </w:r>
      <w:r>
        <w:rPr>
          <w:color w:val="7C1220"/>
          <w:sz w:val="20"/>
        </w:rPr>
        <w:t xml:space="preserve">erm.risk.escalated   </w:t>
      </w:r>
      <w:r>
        <w:rPr>
          <w:color w:val="7C1220"/>
          <w:sz w:val="20"/>
        </w:rPr>
        <w:t xml:space="preserve">erm.risk.mitigated   </w:t>
      </w:r>
      <w:r>
        <w:rPr>
          <w:color w:val="7C1220"/>
          <w:sz w:val="20"/>
        </w:rPr>
        <w:t xml:space="preserve">erm.risk.closed   </w:t>
      </w:r>
      <w:r>
        <w:rPr>
          <w:color w:val="7C1220"/>
          <w:sz w:val="20"/>
        </w:rPr>
        <w:t>erm.appetite.breached</w:t>
      </w:r>
    </w:p>
    <w:p>
      <w:r>
        <w:rPr>
          <w:b/>
          <w:color w:val="64748B"/>
          <w:sz w:val="20"/>
        </w:rPr>
        <w:t xml:space="preserve">Database tables:  </w:t>
      </w:r>
      <w:r>
        <w:rPr>
          <w:color w:val="7C1220"/>
          <w:sz w:val="19"/>
        </w:rPr>
        <w:t xml:space="preserve">erm_enterprise_risks   </w:t>
      </w:r>
      <w:r>
        <w:rPr>
          <w:color w:val="7C1220"/>
          <w:sz w:val="19"/>
        </w:rPr>
        <w:t xml:space="preserve">erm_risk_appetite   </w:t>
      </w:r>
      <w:r>
        <w:rPr>
          <w:color w:val="7C1220"/>
          <w:sz w:val="19"/>
        </w:rPr>
        <w:t xml:space="preserve">erm_risk_library   </w:t>
      </w:r>
      <w:r>
        <w:rPr>
          <w:color w:val="7C1220"/>
          <w:sz w:val="19"/>
        </w:rPr>
        <w:t xml:space="preserve">erm_regulatory_obligations   </w:t>
      </w:r>
      <w:r>
        <w:rPr>
          <w:color w:val="7C1220"/>
          <w:sz w:val="19"/>
        </w:rPr>
        <w:t xml:space="preserve">erm_assessments   </w:t>
      </w:r>
      <w:r>
        <w:rPr>
          <w:color w:val="7C1220"/>
          <w:sz w:val="19"/>
        </w:rPr>
        <w:t xml:space="preserve">risk_register (shared)   </w:t>
      </w:r>
    </w:p>
    <w:p/>
    <w:tbl>
      <w:tblPr>
        <w:tblW w:type="auto" w:w="0"/>
        <w:jc w:val="left"/>
        <w:tblLook w:firstColumn="1" w:firstRow="1" w:lastColumn="0" w:lastRow="0" w:noHBand="0" w:noVBand="1" w:val="04A0"/>
      </w:tblPr>
      <w:tblGrid>
        <w:gridCol w:w="9406"/>
      </w:tblGrid>
      <w:tr>
        <w:tc>
          <w:tcPr>
            <w:tcW w:type="dxa" w:w="9406"/>
            <w:shd w:val="clear" w:color="auto" w:fill="7C3A0A"/>
          </w:tcPr>
          <w:p>
            <w:r>
              <w:rPr>
                <w:b/>
                <w:color w:val="FFFFFF"/>
                <w:sz w:val="28"/>
              </w:rPr>
              <w:t xml:space="preserve">  ORM — Operational Risk Management</w:t>
            </w:r>
          </w:p>
          <w:p>
            <w:r>
              <w:rPr>
                <w:color w:val="DDDDDD"/>
                <w:sz w:val="20"/>
              </w:rPr>
              <w:t xml:space="preserve">  Operational event logging, KRI tracking, RCSA and SLA compliance</w:t>
            </w:r>
          </w:p>
        </w:tc>
      </w:tr>
    </w:tbl>
    <w:p/>
    <w:p>
      <w:pPr>
        <w:spacing w:after="80"/>
      </w:pPr>
      <w:r>
        <w:rPr>
          <w:b/>
          <w:i w:val="0"/>
          <w:color w:val="7C3A0A"/>
          <w:sz w:val="22"/>
        </w:rPr>
        <w:t>Features</w:t>
      </w:r>
    </w:p>
    <w:p>
      <w:pPr>
        <w:pStyle w:val="ListBullet"/>
        <w:spacing w:after="40"/>
      </w:pPr>
      <w:r>
        <w:rPr>
          <w:color w:val="1E293B"/>
          <w:sz w:val="21"/>
        </w:rPr>
        <w:t>Operational event logging with severity classification</w:t>
      </w:r>
    </w:p>
    <w:p>
      <w:pPr>
        <w:pStyle w:val="ListBullet"/>
        <w:spacing w:after="40"/>
      </w:pPr>
      <w:r>
        <w:rPr>
          <w:color w:val="1E293B"/>
          <w:sz w:val="21"/>
        </w:rPr>
        <w:t>Key Risk Indicator (KRI) definition and threshold monitoring</w:t>
      </w:r>
    </w:p>
    <w:p>
      <w:pPr>
        <w:pStyle w:val="ListBullet"/>
        <w:spacing w:after="40"/>
      </w:pPr>
      <w:r>
        <w:rPr>
          <w:color w:val="1E293B"/>
          <w:sz w:val="21"/>
        </w:rPr>
        <w:t>KRI auto-increment when configured event type fires</w:t>
      </w:r>
    </w:p>
    <w:p>
      <w:pPr>
        <w:pStyle w:val="ListBullet"/>
        <w:spacing w:after="40"/>
      </w:pPr>
      <w:r>
        <w:rPr>
          <w:color w:val="1E293B"/>
          <w:sz w:val="21"/>
        </w:rPr>
        <w:t>KRI history tracking over time</w:t>
      </w:r>
    </w:p>
    <w:p>
      <w:pPr>
        <w:pStyle w:val="ListBullet"/>
        <w:spacing w:after="40"/>
      </w:pPr>
      <w:r>
        <w:rPr>
          <w:color w:val="1E293B"/>
          <w:sz w:val="21"/>
        </w:rPr>
        <w:t>Risk and Control Self-Assessment (RCSA) workflow</w:t>
      </w:r>
    </w:p>
    <w:p>
      <w:pPr>
        <w:pStyle w:val="ListBullet"/>
        <w:spacing w:after="40"/>
      </w:pPr>
      <w:r>
        <w:rPr>
          <w:color w:val="1E293B"/>
          <w:sz w:val="21"/>
        </w:rPr>
        <w:t>SLA tracking and compliance reporting</w:t>
      </w:r>
    </w:p>
    <w:p/>
    <w:p>
      <w:pPr>
        <w:spacing w:after="80"/>
      </w:pPr>
      <w:r>
        <w:rPr>
          <w:b/>
          <w:color w:val="64748B"/>
          <w:sz w:val="20"/>
        </w:rPr>
        <w:t xml:space="preserve">Events emitted:  </w:t>
      </w:r>
      <w:r>
        <w:rPr>
          <w:color w:val="7C3A0A"/>
          <w:sz w:val="20"/>
        </w:rPr>
        <w:t xml:space="preserve">orm.event.logged   </w:t>
      </w:r>
      <w:r>
        <w:rPr>
          <w:color w:val="7C3A0A"/>
          <w:sz w:val="20"/>
        </w:rPr>
        <w:t xml:space="preserve">orm.event.elevated   </w:t>
      </w:r>
      <w:r>
        <w:rPr>
          <w:color w:val="7C3A0A"/>
          <w:sz w:val="20"/>
        </w:rPr>
        <w:t>orm.event.resolved</w:t>
      </w:r>
    </w:p>
    <w:p>
      <w:r>
        <w:rPr>
          <w:b/>
          <w:color w:val="64748B"/>
          <w:sz w:val="20"/>
        </w:rPr>
        <w:t xml:space="preserve">Database tables:  </w:t>
      </w:r>
      <w:r>
        <w:rPr>
          <w:color w:val="7C3A0A"/>
          <w:sz w:val="19"/>
        </w:rPr>
        <w:t xml:space="preserve">orm_events   </w:t>
      </w:r>
      <w:r>
        <w:rPr>
          <w:color w:val="7C3A0A"/>
          <w:sz w:val="19"/>
        </w:rPr>
        <w:t xml:space="preserve">orm_kris   </w:t>
      </w:r>
      <w:r>
        <w:rPr>
          <w:color w:val="7C3A0A"/>
          <w:sz w:val="19"/>
        </w:rPr>
        <w:t xml:space="preserve">orm_kri_history   </w:t>
      </w:r>
      <w:r>
        <w:rPr>
          <w:color w:val="7C3A0A"/>
          <w:sz w:val="19"/>
        </w:rPr>
        <w:t xml:space="preserve">orm_rcsa_assessments   </w:t>
      </w:r>
      <w:r>
        <w:rPr>
          <w:color w:val="7C3A0A"/>
          <w:sz w:val="19"/>
        </w:rPr>
        <w:t xml:space="preserve">orm_rcsa_controls   </w:t>
      </w:r>
      <w:r>
        <w:rPr>
          <w:color w:val="7C3A0A"/>
          <w:sz w:val="19"/>
        </w:rPr>
        <w:t xml:space="preserve">orm_event_templates   </w:t>
      </w:r>
    </w:p>
    <w:p/>
    <w:p>
      <w:r>
        <w:br w:type="page"/>
      </w:r>
    </w:p>
    <w:p>
      <w:pPr>
        <w:spacing w:after="40"/>
      </w:pPr>
      <w:r>
        <w:rPr>
          <w:b/>
          <w:color w:val="64748B"/>
          <w:sz w:val="18"/>
        </w:rPr>
        <w:t>SECTION 02  ·  DATABASE ARCHITECTURE</w:t>
      </w:r>
    </w:p>
    <w:p>
      <w:pPr>
        <w:pStyle w:val="Heading1"/>
      </w:pPr>
      <w:r>
        <w:rPr>
          <w:color w:val="1E293B"/>
        </w:rPr>
        <w:t>Database Architecture</w:t>
      </w:r>
    </w:p>
    <w:p>
      <w:pPr>
        <w:spacing w:after="80"/>
      </w:pPr>
      <w:r>
        <w:rPr>
          <w:b w:val="0"/>
          <w:i w:val="0"/>
          <w:color w:val="64748B"/>
          <w:sz w:val="22"/>
        </w:rPr>
        <w:t>ThemisIQ uses a single unified database with tables namespaced by module prefix. All modules share a common set of platform tables for users, sessions, audit logging, events and cross-module linking.</w:t>
      </w:r>
    </w:p>
    <w:p/>
    <w:p>
      <w:pPr>
        <w:pStyle w:val="Heading2"/>
        <w:spacing w:before="160" w:after="80"/>
      </w:pPr>
      <w:r>
        <w:rPr>
          <w:b/>
          <w:color w:val="1E3A8A"/>
        </w:rPr>
        <w:t>Shared Platform Tables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8A"/>
          </w:tcPr>
          <w:p>
            <w:r>
              <w:rPr>
                <w:b/>
                <w:color w:val="FFFFFF"/>
                <w:sz w:val="20"/>
              </w:rPr>
              <w:t>Table</w:t>
            </w:r>
          </w:p>
        </w:tc>
        <w:tc>
          <w:tcPr>
            <w:tcW w:type="dxa" w:w="3135"/>
            <w:shd w:val="clear" w:color="auto" w:fill="1E3A8A"/>
          </w:tcPr>
          <w:p>
            <w:r>
              <w:rPr>
                <w:b/>
                <w:color w:val="FFFFFF"/>
                <w:sz w:val="20"/>
              </w:rPr>
              <w:t>Purpose</w:t>
            </w:r>
          </w:p>
        </w:tc>
        <w:tc>
          <w:tcPr>
            <w:tcW w:type="dxa" w:w="3135"/>
            <w:shd w:val="clear" w:color="auto" w:fill="1E3A8A"/>
          </w:tcPr>
          <w:p>
            <w:r>
              <w:rPr>
                <w:b/>
                <w:color w:val="FFFFFF"/>
                <w:sz w:val="20"/>
              </w:rPr>
              <w:t>Modules</w:t>
            </w:r>
          </w:p>
        </w:tc>
      </w:tr>
      <w:tr>
        <w:tc>
          <w:tcPr>
            <w:tcW w:type="dxa" w:w="3135"/>
          </w:tcPr>
          <w:p>
            <w:r>
              <w:rPr>
                <w:sz w:val="18"/>
              </w:rPr>
              <w:t>cross_module_links</w:t>
            </w:r>
          </w:p>
        </w:tc>
        <w:tc>
          <w:tcPr>
            <w:tcW w:type="dxa" w:w="3135"/>
          </w:tcPr>
          <w:p>
            <w:r>
              <w:rPr>
                <w:sz w:val="18"/>
              </w:rPr>
              <w:t>Semantic relationships between entities across all modules (triggers, implements, mitigates, escalated_to, evidence_for, derived_from, audits, elevated_to)</w:t>
            </w:r>
          </w:p>
        </w:tc>
        <w:tc>
          <w:tcPr>
            <w:tcW w:type="dxa" w:w="3135"/>
          </w:tcPr>
          <w:p>
            <w:r>
              <w:rPr>
                <w:sz w:val="18"/>
              </w:rPr>
              <w:t>ALL</w:t>
            </w:r>
          </w:p>
        </w:tc>
      </w:tr>
      <w:tr>
        <w:tc>
          <w:tcPr>
            <w:tcW w:type="dxa" w:w="3135"/>
          </w:tcPr>
          <w:p>
            <w:r>
              <w:rPr>
                <w:sz w:val="18"/>
              </w:rPr>
              <w:t>events</w:t>
            </w:r>
          </w:p>
        </w:tc>
        <w:tc>
          <w:tcPr>
            <w:tcW w:type="dxa" w:w="3135"/>
          </w:tcPr>
          <w:p>
            <w:r>
              <w:rPr>
                <w:sz w:val="18"/>
              </w:rPr>
              <w:t>Central event bus — stores every cross-module event with type, source module, entity ID, JSON payload, and processing status</w:t>
            </w:r>
          </w:p>
        </w:tc>
        <w:tc>
          <w:tcPr>
            <w:tcW w:type="dxa" w:w="3135"/>
          </w:tcPr>
          <w:p>
            <w:r>
              <w:rPr>
                <w:sz w:val="18"/>
              </w:rPr>
              <w:t>ALL</w:t>
            </w:r>
          </w:p>
        </w:tc>
      </w:tr>
      <w:tr>
        <w:tc>
          <w:tcPr>
            <w:tcW w:type="dxa" w:w="3135"/>
          </w:tcPr>
          <w:p>
            <w:r>
              <w:rPr>
                <w:sz w:val="18"/>
              </w:rPr>
              <w:t>canonical_vendors</w:t>
            </w:r>
          </w:p>
        </w:tc>
        <w:tc>
          <w:tcPr>
            <w:tcW w:type="dxa" w:w="3135"/>
          </w:tcPr>
          <w:p>
            <w:r>
              <w:rPr>
                <w:sz w:val="18"/>
              </w:rPr>
              <w:t>Deduplicated vendor registry shared by GRID, BCM and Sentinel</w:t>
            </w:r>
          </w:p>
        </w:tc>
        <w:tc>
          <w:tcPr>
            <w:tcW w:type="dxa" w:w="3135"/>
          </w:tcPr>
          <w:p>
            <w:r>
              <w:rPr>
                <w:sz w:val="18"/>
              </w:rPr>
              <w:t>GRID, BCM, SENTINEL</w:t>
            </w:r>
          </w:p>
        </w:tc>
      </w:tr>
      <w:tr>
        <w:tc>
          <w:tcPr>
            <w:tcW w:type="dxa" w:w="3135"/>
          </w:tcPr>
          <w:p>
            <w:r>
              <w:rPr>
                <w:sz w:val="18"/>
              </w:rPr>
              <w:t>risk_register</w:t>
            </w:r>
          </w:p>
        </w:tc>
        <w:tc>
          <w:tcPr>
            <w:tcW w:type="dxa" w:w="3135"/>
          </w:tcPr>
          <w:p>
            <w:r>
              <w:rPr>
                <w:sz w:val="18"/>
              </w:rPr>
              <w:t>Unified risk register aggregating risks from ARIA, BCM, ORM and ERM</w:t>
            </w:r>
          </w:p>
        </w:tc>
        <w:tc>
          <w:tcPr>
            <w:tcW w:type="dxa" w:w="3135"/>
          </w:tcPr>
          <w:p>
            <w:r>
              <w:rPr>
                <w:sz w:val="18"/>
              </w:rPr>
              <w:t>ARIA, BCM, ERM, ORM</w:t>
            </w:r>
          </w:p>
        </w:tc>
      </w:tr>
      <w:tr>
        <w:tc>
          <w:tcPr>
            <w:tcW w:type="dxa" w:w="3135"/>
          </w:tcPr>
          <w:p>
            <w:r>
              <w:rPr>
                <w:sz w:val="18"/>
              </w:rPr>
              <w:t>audit_log</w:t>
            </w:r>
          </w:p>
        </w:tc>
        <w:tc>
          <w:tcPr>
            <w:tcW w:type="dxa" w:w="3135"/>
          </w:tcPr>
          <w:p>
            <w:r>
              <w:rPr>
                <w:sz w:val="18"/>
              </w:rPr>
              <w:t>Immutable audit trail of all user actions — user, action, resource type, resource ID, timestamp</w:t>
            </w:r>
          </w:p>
        </w:tc>
        <w:tc>
          <w:tcPr>
            <w:tcW w:type="dxa" w:w="3135"/>
          </w:tcPr>
          <w:p>
            <w:r>
              <w:rPr>
                <w:sz w:val="18"/>
              </w:rPr>
              <w:t>PLATFORM</w:t>
            </w:r>
          </w:p>
        </w:tc>
      </w:tr>
      <w:tr>
        <w:tc>
          <w:tcPr>
            <w:tcW w:type="dxa" w:w="3135"/>
          </w:tcPr>
          <w:p>
            <w:r>
              <w:rPr>
                <w:sz w:val="18"/>
              </w:rPr>
              <w:t>users</w:t>
            </w:r>
          </w:p>
        </w:tc>
        <w:tc>
          <w:tcPr>
            <w:tcW w:type="dxa" w:w="3135"/>
          </w:tcPr>
          <w:p>
            <w:r>
              <w:rPr>
                <w:sz w:val="18"/>
              </w:rPr>
              <w:t>User accounts with hashed passwords and role assignment</w:t>
            </w:r>
          </w:p>
        </w:tc>
        <w:tc>
          <w:tcPr>
            <w:tcW w:type="dxa" w:w="3135"/>
          </w:tcPr>
          <w:p>
            <w:r>
              <w:rPr>
                <w:sz w:val="18"/>
              </w:rPr>
              <w:t>PLATFORM</w:t>
            </w:r>
          </w:p>
        </w:tc>
      </w:tr>
      <w:tr>
        <w:tc>
          <w:tcPr>
            <w:tcW w:type="dxa" w:w="3135"/>
          </w:tcPr>
          <w:p>
            <w:r>
              <w:rPr>
                <w:sz w:val="18"/>
              </w:rPr>
              <w:t>sessions</w:t>
            </w:r>
          </w:p>
        </w:tc>
        <w:tc>
          <w:tcPr>
            <w:tcW w:type="dxa" w:w="3135"/>
          </w:tcPr>
          <w:p>
            <w:r>
              <w:rPr>
                <w:sz w:val="18"/>
              </w:rPr>
              <w:t>Secure httponly session tokens with expiry</w:t>
            </w:r>
          </w:p>
        </w:tc>
        <w:tc>
          <w:tcPr>
            <w:tcW w:type="dxa" w:w="3135"/>
          </w:tcPr>
          <w:p>
            <w:r>
              <w:rPr>
                <w:sz w:val="18"/>
              </w:rPr>
              <w:t>PLATFORM</w:t>
            </w:r>
          </w:p>
        </w:tc>
      </w:tr>
      <w:tr>
        <w:tc>
          <w:tcPr>
            <w:tcW w:type="dxa" w:w="3135"/>
          </w:tcPr>
          <w:p>
            <w:r>
              <w:rPr>
                <w:sz w:val="18"/>
              </w:rPr>
              <w:t>notifications</w:t>
            </w:r>
          </w:p>
        </w:tc>
        <w:tc>
          <w:tcPr>
            <w:tcW w:type="dxa" w:w="3135"/>
          </w:tcPr>
          <w:p>
            <w:r>
              <w:rPr>
                <w:sz w:val="18"/>
              </w:rPr>
              <w:t>Per-user notification queue and preference settings</w:t>
            </w:r>
          </w:p>
        </w:tc>
        <w:tc>
          <w:tcPr>
            <w:tcW w:type="dxa" w:w="3135"/>
          </w:tcPr>
          <w:p>
            <w:r>
              <w:rPr>
                <w:sz w:val="18"/>
              </w:rPr>
              <w:t>PLATFORM</w:t>
            </w:r>
          </w:p>
        </w:tc>
      </w:tr>
      <w:tr>
        <w:tc>
          <w:tcPr>
            <w:tcW w:type="dxa" w:w="3135"/>
          </w:tcPr>
          <w:p>
            <w:r>
              <w:rPr>
                <w:sz w:val="18"/>
              </w:rPr>
              <w:t>settings</w:t>
            </w:r>
          </w:p>
        </w:tc>
        <w:tc>
          <w:tcPr>
            <w:tcW w:type="dxa" w:w="3135"/>
          </w:tcPr>
          <w:p>
            <w:r>
              <w:rPr>
                <w:sz w:val="18"/>
              </w:rPr>
              <w:t>Platform-wide configuration key/value store</w:t>
            </w:r>
          </w:p>
        </w:tc>
        <w:tc>
          <w:tcPr>
            <w:tcW w:type="dxa" w:w="3135"/>
          </w:tcPr>
          <w:p>
            <w:r>
              <w:rPr>
                <w:sz w:val="18"/>
              </w:rPr>
              <w:t>PLATFORM</w:t>
            </w:r>
          </w:p>
        </w:tc>
      </w:tr>
    </w:tbl>
    <w:p/>
    <w:p>
      <w:pPr>
        <w:pStyle w:val="Heading2"/>
        <w:spacing w:before="160" w:after="80"/>
      </w:pPr>
      <w:r>
        <w:rPr>
          <w:b/>
          <w:color w:val="1E293B"/>
        </w:rPr>
        <w:t>Module Table Inventory</w:t>
      </w:r>
    </w:p>
    <w:p>
      <w:pPr>
        <w:spacing w:after="100"/>
      </w:pPr>
      <w:r>
        <w:rPr>
          <w:b/>
          <w:color w:val="7E8062"/>
          <w:sz w:val="20"/>
        </w:rPr>
        <w:t xml:space="preserve">ARIA:  </w:t>
      </w:r>
      <w:r>
        <w:rPr>
          <w:color w:val="64748B"/>
          <w:sz w:val="19"/>
        </w:rPr>
        <w:t>aria_frameworks  ·  aria_controls  ·  aria_control_mappings  ·  aria_policies  ·  aria_risks  ·  aria_documents  ·  aria_evidence  ·  aria_ask_index (FTS5)</w:t>
      </w:r>
    </w:p>
    <w:p>
      <w:pPr>
        <w:spacing w:after="100"/>
      </w:pPr>
      <w:r>
        <w:rPr>
          <w:b/>
          <w:color w:val="1A6B3A"/>
          <w:sz w:val="20"/>
        </w:rPr>
        <w:t xml:space="preserve">GRID:  </w:t>
      </w:r>
      <w:r>
        <w:rPr>
          <w:color w:val="64748B"/>
          <w:sz w:val="19"/>
        </w:rPr>
        <w:t>grid_audits  ·  grid_controls  ·  grid_evidence_items  ·  grid_evidence_files  ·  grid_findings  ·  grid_non_conformances  ·  grid_vendors  ·  grid_compliance_scores  ·  grid_timeline  ·  grid_reports  ·  grid_reminders  ·  grid_approval_requests</w:t>
      </w:r>
    </w:p>
    <w:p>
      <w:pPr>
        <w:spacing w:after="100"/>
      </w:pPr>
      <w:r>
        <w:rPr>
          <w:b/>
          <w:color w:val="3D4660"/>
          <w:sz w:val="20"/>
        </w:rPr>
        <w:t xml:space="preserve">BCM:  </w:t>
      </w:r>
      <w:r>
        <w:rPr>
          <w:color w:val="64748B"/>
          <w:sz w:val="19"/>
        </w:rPr>
        <w:t>bcm_bia  ·  bcm_risks  ·  bcm_plans  ·  bcm_incidents  ·  bcm_incident_chat  ·  bcm_incident_updates  ·  bcm_exercises  ·  bcm_training  ·  bcm_vendors  ·  bcm_dependencies  ·  bcm_plan_reviews  ·  bcm_documents</w:t>
      </w:r>
    </w:p>
    <w:p>
      <w:pPr>
        <w:spacing w:after="100"/>
      </w:pPr>
      <w:r>
        <w:rPr>
          <w:b/>
          <w:color w:val="1A3460"/>
          <w:sz w:val="20"/>
        </w:rPr>
        <w:t xml:space="preserve">SENTINEL:  </w:t>
      </w:r>
      <w:r>
        <w:rPr>
          <w:color w:val="64748B"/>
          <w:sz w:val="19"/>
        </w:rPr>
        <w:t>sentinel_ropa  ·  sentinel_dpias  ·  sentinel_breaches  ·  sentinel_dsr  ·  sentinel_consent  ·  sentinel_retention  ·  sentinel_transfers  ·  sentinel_lias  ·  sentinel_security_measures  ·  sentinel_vendors  ·  sentinel_jurisdiction_config  ·  sentinel_controllers</w:t>
      </w:r>
    </w:p>
    <w:p>
      <w:pPr>
        <w:spacing w:after="100"/>
      </w:pPr>
      <w:r>
        <w:rPr>
          <w:b/>
          <w:color w:val="7C1220"/>
          <w:sz w:val="20"/>
        </w:rPr>
        <w:t xml:space="preserve">ERM:  </w:t>
      </w:r>
      <w:r>
        <w:rPr>
          <w:color w:val="64748B"/>
          <w:sz w:val="19"/>
        </w:rPr>
        <w:t>erm_enterprise_risks  ·  erm_risk_appetite  ·  erm_risk_library  ·  erm_regulatory_obligations  ·  erm_assessments  ·  risk_register (shared)</w:t>
      </w:r>
    </w:p>
    <w:p>
      <w:pPr>
        <w:spacing w:after="100"/>
      </w:pPr>
      <w:r>
        <w:rPr>
          <w:b/>
          <w:color w:val="7C3A0A"/>
          <w:sz w:val="20"/>
        </w:rPr>
        <w:t xml:space="preserve">ORM:  </w:t>
      </w:r>
      <w:r>
        <w:rPr>
          <w:color w:val="64748B"/>
          <w:sz w:val="19"/>
        </w:rPr>
        <w:t>orm_events  ·  orm_kris  ·  orm_kri_history  ·  orm_rcsa_assessments  ·  orm_rcsa_controls  ·  orm_event_templates</w:t>
      </w:r>
    </w:p>
    <w:p>
      <w:r>
        <w:br w:type="page"/>
      </w:r>
    </w:p>
    <w:p>
      <w:pPr>
        <w:spacing w:after="40"/>
      </w:pPr>
      <w:r>
        <w:rPr>
          <w:b/>
          <w:color w:val="64748B"/>
          <w:sz w:val="18"/>
        </w:rPr>
        <w:t>SECTION 03  ·  CROSS-MODULE INTEGRATION</w:t>
      </w:r>
    </w:p>
    <w:p>
      <w:pPr>
        <w:pStyle w:val="Heading1"/>
      </w:pPr>
      <w:r>
        <w:rPr>
          <w:color w:val="1E293B"/>
        </w:rPr>
        <w:t>Cross-Module Integration</w:t>
      </w:r>
    </w:p>
    <w:p>
      <w:pPr>
        <w:spacing w:after="80"/>
      </w:pPr>
      <w:r>
        <w:rPr>
          <w:b w:val="0"/>
          <w:i w:val="0"/>
          <w:color w:val="64748B"/>
          <w:sz w:val="22"/>
        </w:rPr>
        <w:t>When significant events occur in one module, they automatically trigger actions in related modules. Relationships between entities are recorded in the cross_module_links table.</w:t>
      </w:r>
    </w:p>
    <w:p/>
    <w:p>
      <w:pPr>
        <w:pStyle w:val="Heading2"/>
        <w:spacing w:before="160" w:after="80"/>
      </w:pPr>
      <w:r>
        <w:rPr>
          <w:b/>
          <w:color w:val="1E293B"/>
        </w:rPr>
        <w:t>Relationship Types</w:t>
      </w:r>
    </w:p>
    <w:p>
      <w:pPr>
        <w:spacing w:after="80"/>
      </w:pPr>
      <w:r>
        <w:rPr>
          <w:b w:val="0"/>
          <w:i w:val="0"/>
          <w:color w:val="64748B"/>
          <w:sz w:val="22"/>
        </w:rPr>
        <w:t>related · triggers · evidence_for · implements · mitigates · escalated_to · derived_from · audits · elevated_to</w:t>
      </w:r>
    </w:p>
    <w:p/>
    <w:p>
      <w:pPr>
        <w:pStyle w:val="Heading2"/>
        <w:spacing w:before="160" w:after="80"/>
      </w:pPr>
      <w:r>
        <w:rPr>
          <w:b/>
          <w:color w:val="1E293B"/>
        </w:rPr>
        <w:t>Automated Event Flows</w:t>
      </w:r>
    </w:p>
    <w:p>
      <w:r>
        <w:rPr>
          <w:b/>
          <w:color w:val="1E293B"/>
          <w:sz w:val="22"/>
        </w:rPr>
        <w:t>Sentinel breach confirmed (SEV-1)</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64748B"/>
                <w:sz w:val="18"/>
              </w:rPr>
              <w:t>Source</w:t>
            </w:r>
          </w:p>
        </w:tc>
        <w:tc>
          <w:tcPr>
            <w:tcW w:type="dxa" w:w="3135"/>
          </w:tcPr>
          <w:p>
            <w:r>
              <w:rPr>
                <w:b/>
                <w:color w:val="64748B"/>
                <w:sz w:val="18"/>
              </w:rPr>
              <w:t>Target</w:t>
            </w:r>
          </w:p>
        </w:tc>
        <w:tc>
          <w:tcPr>
            <w:tcW w:type="dxa" w:w="3135"/>
          </w:tcPr>
          <w:p>
            <w:r>
              <w:rPr>
                <w:b/>
                <w:color w:val="64748B"/>
                <w:sz w:val="18"/>
              </w:rPr>
              <w:t>Effect</w:t>
            </w:r>
          </w:p>
        </w:tc>
      </w:tr>
      <w:tr>
        <w:tc>
          <w:tcPr>
            <w:tcW w:type="dxa" w:w="3135"/>
          </w:tcPr>
          <w:p>
            <w:r>
              <w:rPr>
                <w:b/>
                <w:color w:val="1A3460"/>
                <w:sz w:val="18"/>
              </w:rPr>
              <w:t>Sentinel</w:t>
            </w:r>
          </w:p>
        </w:tc>
        <w:tc>
          <w:tcPr>
            <w:tcW w:type="dxa" w:w="3135"/>
          </w:tcPr>
          <w:p>
            <w:r>
              <w:rPr>
                <w:b/>
                <w:color w:val="7C1220"/>
                <w:sz w:val="18"/>
              </w:rPr>
              <w:t>ERM</w:t>
            </w:r>
          </w:p>
        </w:tc>
        <w:tc>
          <w:tcPr>
            <w:tcW w:type="dxa" w:w="3135"/>
          </w:tcPr>
          <w:p>
            <w:r>
              <w:rPr>
                <w:sz w:val="18"/>
              </w:rPr>
              <w:t>Creates jurisdiction-aware regulatory obligation + escalates to enterprise risk register</w:t>
            </w:r>
          </w:p>
        </w:tc>
      </w:tr>
      <w:tr>
        <w:tc>
          <w:tcPr>
            <w:tcW w:type="dxa" w:w="3135"/>
          </w:tcPr>
          <w:p>
            <w:r>
              <w:rPr>
                <w:b/>
                <w:color w:val="1A3460"/>
                <w:sz w:val="18"/>
              </w:rPr>
              <w:t>Sentinel</w:t>
            </w:r>
          </w:p>
        </w:tc>
        <w:tc>
          <w:tcPr>
            <w:tcW w:type="dxa" w:w="3135"/>
          </w:tcPr>
          <w:p>
            <w:r>
              <w:rPr>
                <w:b/>
                <w:color w:val="1A6B3A"/>
                <w:sz w:val="18"/>
              </w:rPr>
              <w:t>GRID</w:t>
            </w:r>
          </w:p>
        </w:tc>
        <w:tc>
          <w:tcPr>
            <w:tcW w:type="dxa" w:w="3135"/>
          </w:tcPr>
          <w:p>
            <w:r>
              <w:rPr>
                <w:sz w:val="18"/>
              </w:rPr>
              <w:t>Creates post-incident audit titled "[Regulation] Breach Response Audit"</w:t>
            </w:r>
          </w:p>
        </w:tc>
      </w:tr>
      <w:tr>
        <w:tc>
          <w:tcPr>
            <w:tcW w:type="dxa" w:w="3135"/>
          </w:tcPr>
          <w:p>
            <w:r>
              <w:rPr>
                <w:b/>
                <w:color w:val="1A3460"/>
                <w:sz w:val="18"/>
              </w:rPr>
              <w:t>Sentinel</w:t>
            </w:r>
          </w:p>
        </w:tc>
        <w:tc>
          <w:tcPr>
            <w:tcW w:type="dxa" w:w="3135"/>
          </w:tcPr>
          <w:p>
            <w:r>
              <w:rPr>
                <w:b/>
                <w:color w:val="7C3A0A"/>
                <w:sz w:val="18"/>
              </w:rPr>
              <w:t>ORM</w:t>
            </w:r>
          </w:p>
        </w:tc>
        <w:tc>
          <w:tcPr>
            <w:tcW w:type="dxa" w:w="3135"/>
          </w:tcPr>
          <w:p>
            <w:r>
              <w:rPr>
                <w:sz w:val="18"/>
              </w:rPr>
              <w:t>Logs operational event "[Regulation] Data Breach: [Title]"</w:t>
            </w:r>
          </w:p>
        </w:tc>
      </w:tr>
      <w:tr>
        <w:tc>
          <w:tcPr>
            <w:tcW w:type="dxa" w:w="3135"/>
          </w:tcPr>
          <w:p>
            <w:r>
              <w:rPr>
                <w:b/>
                <w:color w:val="1A3460"/>
                <w:sz w:val="18"/>
              </w:rPr>
              <w:t>Sentinel</w:t>
            </w:r>
          </w:p>
        </w:tc>
        <w:tc>
          <w:tcPr>
            <w:tcW w:type="dxa" w:w="3135"/>
          </w:tcPr>
          <w:p>
            <w:r>
              <w:rPr>
                <w:b/>
                <w:color w:val="7E8062"/>
                <w:sz w:val="18"/>
              </w:rPr>
              <w:t>ARIA</w:t>
            </w:r>
          </w:p>
        </w:tc>
        <w:tc>
          <w:tcPr>
            <w:tcW w:type="dxa" w:w="3135"/>
          </w:tcPr>
          <w:p>
            <w:r>
              <w:rPr>
                <w:sz w:val="18"/>
              </w:rPr>
              <w:t>Flags related framework controls for review</w:t>
            </w:r>
          </w:p>
        </w:tc>
      </w:tr>
    </w:tbl>
    <w:p/>
    <w:p>
      <w:r>
        <w:rPr>
          <w:b/>
          <w:color w:val="1E293B"/>
          <w:sz w:val="22"/>
        </w:rPr>
        <w:t>BCM incident declared (SEV-1/SEV-2)</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64748B"/>
                <w:sz w:val="18"/>
              </w:rPr>
              <w:t>Source</w:t>
            </w:r>
          </w:p>
        </w:tc>
        <w:tc>
          <w:tcPr>
            <w:tcW w:type="dxa" w:w="3135"/>
          </w:tcPr>
          <w:p>
            <w:r>
              <w:rPr>
                <w:b/>
                <w:color w:val="64748B"/>
                <w:sz w:val="18"/>
              </w:rPr>
              <w:t>Target</w:t>
            </w:r>
          </w:p>
        </w:tc>
        <w:tc>
          <w:tcPr>
            <w:tcW w:type="dxa" w:w="3135"/>
          </w:tcPr>
          <w:p>
            <w:r>
              <w:rPr>
                <w:b/>
                <w:color w:val="64748B"/>
                <w:sz w:val="18"/>
              </w:rPr>
              <w:t>Effect</w:t>
            </w:r>
          </w:p>
        </w:tc>
      </w:tr>
      <w:tr>
        <w:tc>
          <w:tcPr>
            <w:tcW w:type="dxa" w:w="3135"/>
          </w:tcPr>
          <w:p>
            <w:r>
              <w:rPr>
                <w:b/>
                <w:color w:val="3D4660"/>
                <w:sz w:val="18"/>
              </w:rPr>
              <w:t>BCM</w:t>
            </w:r>
          </w:p>
        </w:tc>
        <w:tc>
          <w:tcPr>
            <w:tcW w:type="dxa" w:w="3135"/>
          </w:tcPr>
          <w:p>
            <w:r>
              <w:rPr>
                <w:b/>
                <w:color w:val="1A3460"/>
                <w:sz w:val="18"/>
              </w:rPr>
              <w:t>Sentinel</w:t>
            </w:r>
          </w:p>
        </w:tc>
        <w:tc>
          <w:tcPr>
            <w:tcW w:type="dxa" w:w="3135"/>
          </w:tcPr>
          <w:p>
            <w:r>
              <w:rPr>
                <w:sz w:val="18"/>
              </w:rPr>
              <w:t>Auto-creates breach assessment draft if data may be involved</w:t>
            </w:r>
          </w:p>
        </w:tc>
      </w:tr>
      <w:tr>
        <w:tc>
          <w:tcPr>
            <w:tcW w:type="dxa" w:w="3135"/>
          </w:tcPr>
          <w:p>
            <w:r>
              <w:rPr>
                <w:b/>
                <w:color w:val="3D4660"/>
                <w:sz w:val="18"/>
              </w:rPr>
              <w:t>BCM</w:t>
            </w:r>
          </w:p>
        </w:tc>
        <w:tc>
          <w:tcPr>
            <w:tcW w:type="dxa" w:w="3135"/>
          </w:tcPr>
          <w:p>
            <w:r>
              <w:rPr>
                <w:b/>
                <w:color w:val="7E8062"/>
                <w:sz w:val="18"/>
              </w:rPr>
              <w:t>ARIA</w:t>
            </w:r>
          </w:p>
        </w:tc>
        <w:tc>
          <w:tcPr>
            <w:tcW w:type="dxa" w:w="3135"/>
          </w:tcPr>
          <w:p>
            <w:r>
              <w:rPr>
                <w:sz w:val="18"/>
              </w:rPr>
              <w:t>Flags related controls as potentially impacted</w:t>
            </w:r>
          </w:p>
        </w:tc>
      </w:tr>
      <w:tr>
        <w:tc>
          <w:tcPr>
            <w:tcW w:type="dxa" w:w="3135"/>
          </w:tcPr>
          <w:p>
            <w:r>
              <w:rPr>
                <w:b/>
                <w:color w:val="3D4660"/>
                <w:sz w:val="18"/>
              </w:rPr>
              <w:t>BCM</w:t>
            </w:r>
          </w:p>
        </w:tc>
        <w:tc>
          <w:tcPr>
            <w:tcW w:type="dxa" w:w="3135"/>
          </w:tcPr>
          <w:p>
            <w:r>
              <w:rPr>
                <w:b/>
                <w:color w:val="7C3A0A"/>
                <w:sz w:val="18"/>
              </w:rPr>
              <w:t>ORM</w:t>
            </w:r>
          </w:p>
        </w:tc>
        <w:tc>
          <w:tcPr>
            <w:tcW w:type="dxa" w:w="3135"/>
          </w:tcPr>
          <w:p>
            <w:r>
              <w:rPr>
                <w:sz w:val="18"/>
              </w:rPr>
              <w:t>Logs corresponding operational event</w:t>
            </w:r>
          </w:p>
        </w:tc>
      </w:tr>
    </w:tbl>
    <w:p/>
    <w:p>
      <w:r>
        <w:rPr>
          <w:b/>
          <w:color w:val="1E293B"/>
          <w:sz w:val="22"/>
        </w:rPr>
        <w:t>ARIA policy published</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64748B"/>
                <w:sz w:val="18"/>
              </w:rPr>
              <w:t>Source</w:t>
            </w:r>
          </w:p>
        </w:tc>
        <w:tc>
          <w:tcPr>
            <w:tcW w:type="dxa" w:w="3135"/>
          </w:tcPr>
          <w:p>
            <w:r>
              <w:rPr>
                <w:b/>
                <w:color w:val="64748B"/>
                <w:sz w:val="18"/>
              </w:rPr>
              <w:t>Target</w:t>
            </w:r>
          </w:p>
        </w:tc>
        <w:tc>
          <w:tcPr>
            <w:tcW w:type="dxa" w:w="3135"/>
          </w:tcPr>
          <w:p>
            <w:r>
              <w:rPr>
                <w:b/>
                <w:color w:val="64748B"/>
                <w:sz w:val="18"/>
              </w:rPr>
              <w:t>Effect</w:t>
            </w:r>
          </w:p>
        </w:tc>
      </w:tr>
      <w:tr>
        <w:tc>
          <w:tcPr>
            <w:tcW w:type="dxa" w:w="3135"/>
          </w:tcPr>
          <w:p>
            <w:r>
              <w:rPr>
                <w:b/>
                <w:color w:val="7E8062"/>
                <w:sz w:val="18"/>
              </w:rPr>
              <w:t>ARIA</w:t>
            </w:r>
          </w:p>
        </w:tc>
        <w:tc>
          <w:tcPr>
            <w:tcW w:type="dxa" w:w="3135"/>
          </w:tcPr>
          <w:p>
            <w:r>
              <w:rPr>
                <w:b/>
                <w:color w:val="1A6B3A"/>
                <w:sz w:val="18"/>
              </w:rPr>
              <w:t>GRID</w:t>
            </w:r>
          </w:p>
        </w:tc>
        <w:tc>
          <w:tcPr>
            <w:tcW w:type="dxa" w:w="3135"/>
          </w:tcPr>
          <w:p>
            <w:r>
              <w:rPr>
                <w:sz w:val="18"/>
              </w:rPr>
              <w:t>Flags related audit controls for re-review</w:t>
            </w:r>
          </w:p>
        </w:tc>
      </w:tr>
      <w:tr>
        <w:tc>
          <w:tcPr>
            <w:tcW w:type="dxa" w:w="3135"/>
          </w:tcPr>
          <w:p>
            <w:r>
              <w:rPr>
                <w:b/>
                <w:color w:val="7E8062"/>
                <w:sz w:val="18"/>
              </w:rPr>
              <w:t>ARIA</w:t>
            </w:r>
          </w:p>
        </w:tc>
        <w:tc>
          <w:tcPr>
            <w:tcW w:type="dxa" w:w="3135"/>
          </w:tcPr>
          <w:p>
            <w:r>
              <w:rPr>
                <w:b/>
                <w:color w:val="1A3460"/>
                <w:sz w:val="18"/>
              </w:rPr>
              <w:t>Sentinel</w:t>
            </w:r>
          </w:p>
        </w:tc>
        <w:tc>
          <w:tcPr>
            <w:tcW w:type="dxa" w:w="3135"/>
          </w:tcPr>
          <w:p>
            <w:r>
              <w:rPr>
                <w:sz w:val="18"/>
              </w:rPr>
              <w:t>Flags affected DPIAs for re-assessment</w:t>
            </w:r>
          </w:p>
        </w:tc>
      </w:tr>
      <w:tr>
        <w:tc>
          <w:tcPr>
            <w:tcW w:type="dxa" w:w="3135"/>
          </w:tcPr>
          <w:p>
            <w:r>
              <w:rPr>
                <w:b/>
                <w:color w:val="7E8062"/>
                <w:sz w:val="18"/>
              </w:rPr>
              <w:t>ARIA</w:t>
            </w:r>
          </w:p>
        </w:tc>
        <w:tc>
          <w:tcPr>
            <w:tcW w:type="dxa" w:w="3135"/>
          </w:tcPr>
          <w:p>
            <w:r>
              <w:rPr>
                <w:b/>
                <w:color w:val="3D4660"/>
                <w:sz w:val="18"/>
              </w:rPr>
              <w:t>BCM</w:t>
            </w:r>
          </w:p>
        </w:tc>
        <w:tc>
          <w:tcPr>
            <w:tcW w:type="dxa" w:w="3135"/>
          </w:tcPr>
          <w:p>
            <w:r>
              <w:rPr>
                <w:sz w:val="18"/>
              </w:rPr>
              <w:t>Updates linked BCP plan review status</w:t>
            </w:r>
          </w:p>
        </w:tc>
      </w:tr>
    </w:tbl>
    <w:p/>
    <w:p>
      <w:r>
        <w:rPr>
          <w:b/>
          <w:color w:val="1E293B"/>
          <w:sz w:val="22"/>
        </w:rPr>
        <w:t>GRID audit non-conformance raised</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64748B"/>
                <w:sz w:val="18"/>
              </w:rPr>
              <w:t>Source</w:t>
            </w:r>
          </w:p>
        </w:tc>
        <w:tc>
          <w:tcPr>
            <w:tcW w:type="dxa" w:w="3135"/>
          </w:tcPr>
          <w:p>
            <w:r>
              <w:rPr>
                <w:b/>
                <w:color w:val="64748B"/>
                <w:sz w:val="18"/>
              </w:rPr>
              <w:t>Target</w:t>
            </w:r>
          </w:p>
        </w:tc>
        <w:tc>
          <w:tcPr>
            <w:tcW w:type="dxa" w:w="3135"/>
          </w:tcPr>
          <w:p>
            <w:r>
              <w:rPr>
                <w:b/>
                <w:color w:val="64748B"/>
                <w:sz w:val="18"/>
              </w:rPr>
              <w:t>Effect</w:t>
            </w:r>
          </w:p>
        </w:tc>
      </w:tr>
      <w:tr>
        <w:tc>
          <w:tcPr>
            <w:tcW w:type="dxa" w:w="3135"/>
          </w:tcPr>
          <w:p>
            <w:r>
              <w:rPr>
                <w:b/>
                <w:color w:val="1A6B3A"/>
                <w:sz w:val="18"/>
              </w:rPr>
              <w:t>GRID</w:t>
            </w:r>
          </w:p>
        </w:tc>
        <w:tc>
          <w:tcPr>
            <w:tcW w:type="dxa" w:w="3135"/>
          </w:tcPr>
          <w:p>
            <w:r>
              <w:rPr>
                <w:b/>
                <w:color w:val="7E8062"/>
                <w:sz w:val="18"/>
              </w:rPr>
              <w:t>ARIA</w:t>
            </w:r>
          </w:p>
        </w:tc>
        <w:tc>
          <w:tcPr>
            <w:tcW w:type="dxa" w:w="3135"/>
          </w:tcPr>
          <w:p>
            <w:r>
              <w:rPr>
                <w:sz w:val="18"/>
              </w:rPr>
              <w:t>Creates corrective action on related control</w:t>
            </w:r>
          </w:p>
        </w:tc>
      </w:tr>
      <w:tr>
        <w:tc>
          <w:tcPr>
            <w:tcW w:type="dxa" w:w="3135"/>
          </w:tcPr>
          <w:p>
            <w:r>
              <w:rPr>
                <w:b/>
                <w:color w:val="1A6B3A"/>
                <w:sz w:val="18"/>
              </w:rPr>
              <w:t>GRID</w:t>
            </w:r>
          </w:p>
        </w:tc>
        <w:tc>
          <w:tcPr>
            <w:tcW w:type="dxa" w:w="3135"/>
          </w:tcPr>
          <w:p>
            <w:r>
              <w:rPr>
                <w:b/>
                <w:color w:val="3D4660"/>
                <w:sz w:val="18"/>
              </w:rPr>
              <w:t>BCM</w:t>
            </w:r>
          </w:p>
        </w:tc>
        <w:tc>
          <w:tcPr>
            <w:tcW w:type="dxa" w:w="3135"/>
          </w:tcPr>
          <w:p>
            <w:r>
              <w:rPr>
                <w:sz w:val="18"/>
              </w:rPr>
              <w:t>Flags finding if it impacts continuity plans</w:t>
            </w:r>
          </w:p>
        </w:tc>
      </w:tr>
    </w:tbl>
    <w:p/>
    <w:p>
      <w:r>
        <w:rPr>
          <w:b/>
          <w:color w:val="1E293B"/>
          <w:sz w:val="22"/>
        </w:rPr>
        <w:t>ORM KRI threshold breached</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64748B"/>
                <w:sz w:val="18"/>
              </w:rPr>
              <w:t>Source</w:t>
            </w:r>
          </w:p>
        </w:tc>
        <w:tc>
          <w:tcPr>
            <w:tcW w:type="dxa" w:w="3135"/>
          </w:tcPr>
          <w:p>
            <w:r>
              <w:rPr>
                <w:b/>
                <w:color w:val="64748B"/>
                <w:sz w:val="18"/>
              </w:rPr>
              <w:t>Target</w:t>
            </w:r>
          </w:p>
        </w:tc>
        <w:tc>
          <w:tcPr>
            <w:tcW w:type="dxa" w:w="3135"/>
          </w:tcPr>
          <w:p>
            <w:r>
              <w:rPr>
                <w:b/>
                <w:color w:val="64748B"/>
                <w:sz w:val="18"/>
              </w:rPr>
              <w:t>Effect</w:t>
            </w:r>
          </w:p>
        </w:tc>
      </w:tr>
      <w:tr>
        <w:tc>
          <w:tcPr>
            <w:tcW w:type="dxa" w:w="3135"/>
          </w:tcPr>
          <w:p>
            <w:r>
              <w:rPr>
                <w:b/>
                <w:color w:val="7C3A0A"/>
                <w:sz w:val="18"/>
              </w:rPr>
              <w:t>ORM</w:t>
            </w:r>
          </w:p>
        </w:tc>
        <w:tc>
          <w:tcPr>
            <w:tcW w:type="dxa" w:w="3135"/>
          </w:tcPr>
          <w:p>
            <w:r>
              <w:rPr>
                <w:b/>
                <w:color w:val="7C1220"/>
                <w:sz w:val="18"/>
              </w:rPr>
              <w:t>ERM</w:t>
            </w:r>
          </w:p>
        </w:tc>
        <w:tc>
          <w:tcPr>
            <w:tcW w:type="dxa" w:w="3135"/>
          </w:tcPr>
          <w:p>
            <w:r>
              <w:rPr>
                <w:sz w:val="18"/>
              </w:rPr>
              <w:t>Elevates to enterprise risk register via elevated_to link</w:t>
            </w:r>
          </w:p>
        </w:tc>
      </w:tr>
    </w:tbl>
    <w:p/>
    <w:p>
      <w:r>
        <w:br w:type="page"/>
      </w:r>
    </w:p>
    <w:p>
      <w:pPr>
        <w:spacing w:after="40"/>
      </w:pPr>
      <w:r>
        <w:rPr>
          <w:b/>
          <w:color w:val="64748B"/>
          <w:sz w:val="18"/>
        </w:rPr>
        <w:t>SECTION 04  ·  HOW THE SYSTEM WORKS</w:t>
      </w:r>
    </w:p>
    <w:p>
      <w:pPr>
        <w:pStyle w:val="Heading1"/>
      </w:pPr>
      <w:r>
        <w:rPr>
          <w:color w:val="1E293B"/>
        </w:rPr>
        <w:t>How the System Works</w:t>
      </w:r>
    </w:p>
    <w:p>
      <w:pPr>
        <w:spacing w:after="80"/>
      </w:pPr>
      <w:r>
        <w:rPr>
          <w:b w:val="0"/>
          <w:i w:val="0"/>
          <w:color w:val="64748B"/>
          <w:sz w:val="22"/>
        </w:rPr>
        <w:t>A practical walkthrough of how a compliance team uses ThemisIQ day-to-day, from initial setup through to incident response.</w:t>
      </w:r>
    </w:p>
    <w:p/>
    <w:p>
      <w:r>
        <w:rPr>
          <w:b/>
          <w:color w:val="1E293B"/>
          <w:sz w:val="24"/>
        </w:rPr>
        <w:t>Step 1  —  Set up frameworks in ARIA</w:t>
      </w:r>
    </w:p>
    <w:p>
      <w:pPr>
        <w:spacing w:after="80"/>
      </w:pPr>
      <w:r>
        <w:rPr>
          <w:b w:val="0"/>
          <w:i w:val="0"/>
          <w:color w:val="64748B"/>
          <w:sz w:val="22"/>
        </w:rPr>
        <w:t>Import the frameworks your organisation must comply with — ISO 27001, GDPR, SOC 2, NIST CSF, etc. ARIA imports the full control set and cross-maps controls that satisfy multiple frameworks simultaneously. Assign owners and track compliance status across all frameworks in one view.</w:t>
      </w:r>
    </w:p>
    <w:p/>
    <w:p>
      <w:r>
        <w:rPr>
          <w:b/>
          <w:color w:val="1E293B"/>
          <w:sz w:val="24"/>
        </w:rPr>
        <w:t>Step 2  —  Configure your jurisdiction in Sentinel</w:t>
      </w:r>
    </w:p>
    <w:p>
      <w:pPr>
        <w:spacing w:after="80"/>
      </w:pPr>
      <w:r>
        <w:rPr>
          <w:b w:val="0"/>
          <w:i w:val="0"/>
          <w:color w:val="64748B"/>
          <w:sz w:val="22"/>
        </w:rPr>
        <w:t>Tell Sentinel which data protection regulation(s) apply (GDPR, UK GDPR, LGPD, CCPA, etc.). This configures breach notification deadlines, DSR response windows, regulatory authority names, and notification language automatically. Then create your Records of Processing Activities (RoPA).</w:t>
      </w:r>
    </w:p>
    <w:p/>
    <w:p>
      <w:r>
        <w:rPr>
          <w:b/>
          <w:color w:val="1E293B"/>
          <w:sz w:val="24"/>
        </w:rPr>
        <w:t>Step 3  —  Schedule and run audits in GRID</w:t>
      </w:r>
    </w:p>
    <w:p>
      <w:pPr>
        <w:spacing w:after="80"/>
      </w:pPr>
      <w:r>
        <w:rPr>
          <w:b w:val="0"/>
          <w:i w:val="0"/>
          <w:color w:val="64748B"/>
          <w:sz w:val="22"/>
        </w:rPr>
        <w:t>Create audit programmes against ARIA frameworks. GRID samples controls for testing; you collect evidence and record findings. Non-conformances (NCs) link back to the relevant ARIA control and trigger corrective action workflows. GRID generates branded PDF/DOCX audit reports on demand.</w:t>
      </w:r>
    </w:p>
    <w:p/>
    <w:p>
      <w:r>
        <w:rPr>
          <w:b/>
          <w:color w:val="1E293B"/>
          <w:sz w:val="24"/>
        </w:rPr>
        <w:t>Step 4  —  Build continuity plans in BCM</w:t>
      </w:r>
    </w:p>
    <w:p>
      <w:pPr>
        <w:spacing w:after="80"/>
      </w:pPr>
      <w:r>
        <w:rPr>
          <w:b w:val="0"/>
          <w:i w:val="0"/>
          <w:color w:val="64748B"/>
          <w:sz w:val="22"/>
        </w:rPr>
        <w:t>Conduct Business Impact Analyses to identify critical processes and recovery time objectives. Build continuity plans, map vendor and system dependencies, and run tabletop exercises to test readiness. During a real incident, BCM's live chat console coordinates the response team in real time.</w:t>
      </w:r>
    </w:p>
    <w:p/>
    <w:p>
      <w:r>
        <w:rPr>
          <w:b/>
          <w:color w:val="1E293B"/>
          <w:sz w:val="24"/>
        </w:rPr>
        <w:t>Step 5  —  Log and monitor operational events in ORM</w:t>
      </w:r>
    </w:p>
    <w:p>
      <w:pPr>
        <w:spacing w:after="80"/>
      </w:pPr>
      <w:r>
        <w:rPr>
          <w:b w:val="0"/>
          <w:i w:val="0"/>
          <w:color w:val="64748B"/>
          <w:sz w:val="22"/>
        </w:rPr>
        <w:t>Define Key Risk Indicators (KRIs) with thresholds — for example, more than 3 access control failures in a week. As operational events are logged, KRIs with matching event types auto-increment. When a KRI threshold is breached, ORM escalates it to ERM automatically.</w:t>
      </w:r>
    </w:p>
    <w:p/>
    <w:p>
      <w:r>
        <w:rPr>
          <w:b/>
          <w:color w:val="1E293B"/>
          <w:sz w:val="24"/>
        </w:rPr>
        <w:t>Step 6  —  Monitor enterprise risk in ERM</w:t>
      </w:r>
    </w:p>
    <w:p>
      <w:pPr>
        <w:spacing w:after="80"/>
      </w:pPr>
      <w:r>
        <w:rPr>
          <w:b w:val="0"/>
          <w:i w:val="0"/>
          <w:color w:val="64748B"/>
          <w:sz w:val="22"/>
        </w:rPr>
        <w:t>ERM is the central aggregation point. Risks escalated from ARIA, BCM, ORM and Sentinel all appear in one enterprise risk register. Define risk appetite thresholds by category; ERM alerts when aggregate risk exceeds appetite.</w:t>
      </w:r>
    </w:p>
    <w:p/>
    <w:p>
      <w:r>
        <w:rPr>
          <w:b/>
          <w:color w:val="1E293B"/>
          <w:sz w:val="24"/>
        </w:rPr>
        <w:t>Step 7  —  Respond to a data breach (full cross-module flow)</w:t>
      </w:r>
    </w:p>
    <w:p>
      <w:pPr>
        <w:spacing w:after="80"/>
      </w:pPr>
      <w:r>
        <w:rPr>
          <w:b w:val="0"/>
          <w:i w:val="0"/>
          <w:color w:val="64748B"/>
          <w:sz w:val="22"/>
        </w:rPr>
        <w:t>When a breach is confirmed in Sentinel, the platform automatically: (1) starts the regulatory countdown timer, (2) creates a post-incident audit in GRID, (3) logs the breach as an operational event in ORM, (4) creates a regulatory obligation row in ERM, and (5) flags affected ARIA controls for review — all linked via cross_module_links.</w:t>
      </w:r>
    </w:p>
    <w:p/>
    <w:p>
      <w:pPr>
        <w:spacing w:before="120" w:after="120"/>
        <w:ind w:left="454"/>
      </w:pPr>
      <w:r>
        <w:rPr>
          <w:i/>
          <w:color w:val="1E40AF"/>
          <w:sz w:val="20"/>
        </w:rPr>
        <w:t>ℹ  Ask ARIA — at any point in the workflow, use ARIA's semantic search to ask natural-language questions about your policies and controls: "What controls cover access management?" or "Which policies apply to data retention?"</w:t>
      </w:r>
    </w:p>
    <w:p>
      <w:r>
        <w:br w:type="page"/>
      </w:r>
    </w:p>
    <w:p>
      <w:pPr>
        <w:spacing w:after="40"/>
      </w:pPr>
      <w:r>
        <w:rPr>
          <w:b/>
          <w:color w:val="64748B"/>
          <w:sz w:val="18"/>
        </w:rPr>
        <w:t>SECTION 05  ·  SECURITY &amp; AUDIT</w:t>
      </w:r>
    </w:p>
    <w:p>
      <w:pPr>
        <w:pStyle w:val="Heading1"/>
      </w:pPr>
      <w:r>
        <w:rPr>
          <w:color w:val="1E293B"/>
        </w:rPr>
        <w:t>Security &amp; Audit</w:t>
      </w:r>
    </w:p>
    <w:p>
      <w:pPr>
        <w:spacing w:after="80"/>
      </w:pPr>
      <w:r>
        <w:rPr>
          <w:b w:val="0"/>
          <w:i w:val="0"/>
          <w:color w:val="64748B"/>
          <w:sz w:val="22"/>
        </w:rPr>
        <w:t>Every action on the platform is logged. Access is controlled by role-based permissions with atomic capabilities.</w:t>
      </w:r>
    </w:p>
    <w:p/>
    <w:p>
      <w:r>
        <w:rPr>
          <w:b/>
          <w:color w:val="1E3A8A"/>
          <w:sz w:val="22"/>
        </w:rPr>
        <w:t>Authentication</w:t>
      </w:r>
    </w:p>
    <w:p>
      <w:pPr>
        <w:spacing w:after="80"/>
      </w:pPr>
      <w:r>
        <w:rPr>
          <w:b w:val="0"/>
          <w:i w:val="0"/>
          <w:color w:val="64748B"/>
          <w:sz w:val="22"/>
        </w:rPr>
        <w:t>Secure httponly session cookies with SameSite=Strict. Session tokens are cryptographically random, stored in the sessions table with expiry. Passwords hashed with bcrypt cost-12.</w:t>
      </w:r>
    </w:p>
    <w:p/>
    <w:p>
      <w:r>
        <w:rPr>
          <w:b/>
          <w:color w:val="1E3A8A"/>
          <w:sz w:val="22"/>
        </w:rPr>
        <w:t>Role-Based Access Control</w:t>
      </w:r>
    </w:p>
    <w:p>
      <w:pPr>
        <w:spacing w:after="80"/>
      </w:pPr>
      <w:r>
        <w:rPr>
          <w:b w:val="0"/>
          <w:i w:val="0"/>
          <w:color w:val="64748B"/>
          <w:sz w:val="22"/>
        </w:rPr>
        <w:t>14 platform roles, each granting a set of atomic capability permissions. Access to every endpoint is checked against the user's capabilities, not just their role name.</w:t>
      </w:r>
    </w:p>
    <w:p/>
    <w:p>
      <w:r>
        <w:rPr>
          <w:b/>
          <w:color w:val="1E3A8A"/>
          <w:sz w:val="22"/>
        </w:rPr>
        <w:t>Immutable Audit Log</w:t>
      </w:r>
    </w:p>
    <w:p>
      <w:pPr>
        <w:spacing w:after="80"/>
      </w:pPr>
      <w:r>
        <w:rPr>
          <w:b w:val="0"/>
          <w:i w:val="0"/>
          <w:color w:val="64748B"/>
          <w:sz w:val="22"/>
        </w:rPr>
        <w:t>Every state-changing action is appended to the audit_log table — user, action, resource type, resource ID, and timestamp. Entries are never deleted.</w:t>
      </w:r>
    </w:p>
    <w:p/>
    <w:p>
      <w:r>
        <w:rPr>
          <w:b/>
          <w:color w:val="1E3A8A"/>
          <w:sz w:val="22"/>
        </w:rPr>
        <w:t>SQL Injection Prevention</w:t>
      </w:r>
    </w:p>
    <w:p>
      <w:pPr>
        <w:spacing w:after="80"/>
      </w:pPr>
      <w:r>
        <w:rPr>
          <w:b w:val="0"/>
          <w:i w:val="0"/>
          <w:color w:val="64748B"/>
          <w:sz w:val="22"/>
        </w:rPr>
        <w:t>All database queries use parameterised statements. No string interpolation of user input into SQL is permitted anywhere in the codebase.</w:t>
      </w:r>
    </w:p>
    <w:p/>
    <w:p>
      <w:r>
        <w:br w:type="page"/>
      </w:r>
    </w:p>
    <w:p>
      <w:pPr>
        <w:spacing w:after="40"/>
      </w:pPr>
      <w:r>
        <w:rPr>
          <w:b/>
          <w:color w:val="64748B"/>
          <w:sz w:val="18"/>
        </w:rPr>
        <w:t>SECTION 06  ·  USER ROLES</w:t>
      </w:r>
    </w:p>
    <w:p>
      <w:pPr>
        <w:pStyle w:val="Heading1"/>
      </w:pPr>
      <w:r>
        <w:rPr>
          <w:color w:val="1E293B"/>
        </w:rPr>
        <w:t>User Roles</w:t>
      </w:r>
    </w:p>
    <w:p>
      <w:pPr>
        <w:spacing w:after="80"/>
      </w:pPr>
      <w:r>
        <w:rPr>
          <w:b w:val="0"/>
          <w:i w:val="0"/>
          <w:color w:val="64748B"/>
          <w:sz w:val="22"/>
        </w:rPr>
        <w:t>ThemisIQ defines 14 roles covering platform administration through read-only external access.</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293B"/>
          </w:tcPr>
          <w:p>
            <w:r>
              <w:rPr>
                <w:b/>
                <w:color w:val="FFFFFF"/>
                <w:sz w:val="20"/>
              </w:rPr>
              <w:t>Role</w:t>
            </w:r>
          </w:p>
        </w:tc>
        <w:tc>
          <w:tcPr>
            <w:tcW w:type="dxa" w:w="3135"/>
            <w:shd w:val="clear" w:color="auto" w:fill="1E293B"/>
          </w:tcPr>
          <w:p>
            <w:r>
              <w:rPr>
                <w:b/>
                <w:color w:val="FFFFFF"/>
                <w:sz w:val="20"/>
              </w:rPr>
              <w:t>Access Scope</w:t>
            </w:r>
          </w:p>
        </w:tc>
        <w:tc>
          <w:tcPr>
            <w:tcW w:type="dxa" w:w="3135"/>
            <w:shd w:val="clear" w:color="auto" w:fill="1E293B"/>
          </w:tcPr>
          <w:p>
            <w:r>
              <w:rPr>
                <w:b/>
                <w:color w:val="FFFFFF"/>
                <w:sz w:val="20"/>
              </w:rPr>
              <w:t>Typical User</w:t>
            </w:r>
          </w:p>
        </w:tc>
      </w:tr>
      <w:tr>
        <w:tc>
          <w:tcPr>
            <w:tcW w:type="dxa" w:w="3135"/>
          </w:tcPr>
          <w:p>
            <w:r>
              <w:rPr>
                <w:b/>
                <w:sz w:val="20"/>
              </w:rPr>
              <w:t>Super Admin</w:t>
            </w:r>
          </w:p>
        </w:tc>
        <w:tc>
          <w:tcPr>
            <w:tcW w:type="dxa" w:w="3135"/>
          </w:tcPr>
          <w:p>
            <w:r>
              <w:rPr>
                <w:sz w:val="19"/>
              </w:rPr>
              <w:t>Full platform access including user management and settings</w:t>
            </w:r>
          </w:p>
        </w:tc>
        <w:tc>
          <w:tcPr>
            <w:tcW w:type="dxa" w:w="3135"/>
          </w:tcPr>
          <w:p>
            <w:r>
              <w:rPr>
                <w:sz w:val="19"/>
              </w:rPr>
              <w:t>Platform owner / IT administrator</w:t>
            </w:r>
          </w:p>
        </w:tc>
      </w:tr>
      <w:tr>
        <w:tc>
          <w:tcPr>
            <w:tcW w:type="dxa" w:w="3135"/>
          </w:tcPr>
          <w:p>
            <w:r>
              <w:rPr>
                <w:b/>
                <w:sz w:val="20"/>
              </w:rPr>
              <w:t>Compliance Manager</w:t>
            </w:r>
          </w:p>
        </w:tc>
        <w:tc>
          <w:tcPr>
            <w:tcW w:type="dxa" w:w="3135"/>
          </w:tcPr>
          <w:p>
            <w:r>
              <w:rPr>
                <w:sz w:val="19"/>
              </w:rPr>
              <w:t>All six modules, read-write across all compliance data</w:t>
            </w:r>
          </w:p>
        </w:tc>
        <w:tc>
          <w:tcPr>
            <w:tcW w:type="dxa" w:w="3135"/>
          </w:tcPr>
          <w:p>
            <w:r>
              <w:rPr>
                <w:sz w:val="19"/>
              </w:rPr>
              <w:t>Head of compliance</w:t>
            </w:r>
          </w:p>
        </w:tc>
      </w:tr>
      <w:tr>
        <w:tc>
          <w:tcPr>
            <w:tcW w:type="dxa" w:w="3135"/>
          </w:tcPr>
          <w:p>
            <w:r>
              <w:rPr>
                <w:b/>
                <w:sz w:val="20"/>
              </w:rPr>
              <w:t>ARIA Manager</w:t>
            </w:r>
          </w:p>
        </w:tc>
        <w:tc>
          <w:tcPr>
            <w:tcW w:type="dxa" w:w="3135"/>
          </w:tcPr>
          <w:p>
            <w:r>
              <w:rPr>
                <w:sz w:val="19"/>
              </w:rPr>
              <w:t>Full access to ARIA frameworks, controls, policies and risks</w:t>
            </w:r>
          </w:p>
        </w:tc>
        <w:tc>
          <w:tcPr>
            <w:tcW w:type="dxa" w:w="3135"/>
          </w:tcPr>
          <w:p>
            <w:r>
              <w:rPr>
                <w:sz w:val="19"/>
              </w:rPr>
              <w:t>GRC analyst</w:t>
            </w:r>
          </w:p>
        </w:tc>
      </w:tr>
      <w:tr>
        <w:tc>
          <w:tcPr>
            <w:tcW w:type="dxa" w:w="3135"/>
          </w:tcPr>
          <w:p>
            <w:r>
              <w:rPr>
                <w:b/>
                <w:sz w:val="20"/>
              </w:rPr>
              <w:t>Audit Manager</w:t>
            </w:r>
          </w:p>
        </w:tc>
        <w:tc>
          <w:tcPr>
            <w:tcW w:type="dxa" w:w="3135"/>
          </w:tcPr>
          <w:p>
            <w:r>
              <w:rPr>
                <w:sz w:val="19"/>
              </w:rPr>
              <w:t>Full access to GRID audits, evidence, NCs and reports</w:t>
            </w:r>
          </w:p>
        </w:tc>
        <w:tc>
          <w:tcPr>
            <w:tcW w:type="dxa" w:w="3135"/>
          </w:tcPr>
          <w:p>
            <w:r>
              <w:rPr>
                <w:sz w:val="19"/>
              </w:rPr>
              <w:t>Internal / external auditor lead</w:t>
            </w:r>
          </w:p>
        </w:tc>
      </w:tr>
      <w:tr>
        <w:tc>
          <w:tcPr>
            <w:tcW w:type="dxa" w:w="3135"/>
          </w:tcPr>
          <w:p>
            <w:r>
              <w:rPr>
                <w:b/>
                <w:sz w:val="20"/>
              </w:rPr>
              <w:t>Auditor</w:t>
            </w:r>
          </w:p>
        </w:tc>
        <w:tc>
          <w:tcPr>
            <w:tcW w:type="dxa" w:w="3135"/>
          </w:tcPr>
          <w:p>
            <w:r>
              <w:rPr>
                <w:sz w:val="19"/>
              </w:rPr>
              <w:t>GRID evidence capture and finding creation; read-only elsewhere</w:t>
            </w:r>
          </w:p>
        </w:tc>
        <w:tc>
          <w:tcPr>
            <w:tcW w:type="dxa" w:w="3135"/>
          </w:tcPr>
          <w:p>
            <w:r>
              <w:rPr>
                <w:sz w:val="19"/>
              </w:rPr>
              <w:t>Auditor team member</w:t>
            </w:r>
          </w:p>
        </w:tc>
      </w:tr>
      <w:tr>
        <w:tc>
          <w:tcPr>
            <w:tcW w:type="dxa" w:w="3135"/>
          </w:tcPr>
          <w:p>
            <w:r>
              <w:rPr>
                <w:b/>
                <w:sz w:val="20"/>
              </w:rPr>
              <w:t>BCM Manager</w:t>
            </w:r>
          </w:p>
        </w:tc>
        <w:tc>
          <w:tcPr>
            <w:tcW w:type="dxa" w:w="3135"/>
          </w:tcPr>
          <w:p>
            <w:r>
              <w:rPr>
                <w:sz w:val="19"/>
              </w:rPr>
              <w:t>Full BCM module access — plans, incidents, exercises</w:t>
            </w:r>
          </w:p>
        </w:tc>
        <w:tc>
          <w:tcPr>
            <w:tcW w:type="dxa" w:w="3135"/>
          </w:tcPr>
          <w:p>
            <w:r>
              <w:rPr>
                <w:sz w:val="19"/>
              </w:rPr>
              <w:t>Business continuity officer</w:t>
            </w:r>
          </w:p>
        </w:tc>
      </w:tr>
      <w:tr>
        <w:tc>
          <w:tcPr>
            <w:tcW w:type="dxa" w:w="3135"/>
          </w:tcPr>
          <w:p>
            <w:r>
              <w:rPr>
                <w:b/>
                <w:sz w:val="20"/>
              </w:rPr>
              <w:t>DPO</w:t>
            </w:r>
          </w:p>
        </w:tc>
        <w:tc>
          <w:tcPr>
            <w:tcW w:type="dxa" w:w="3135"/>
          </w:tcPr>
          <w:p>
            <w:r>
              <w:rPr>
                <w:sz w:val="19"/>
              </w:rPr>
              <w:t>Full Sentinel access — RoPA, DPIA, breaches, DSR</w:t>
            </w:r>
          </w:p>
        </w:tc>
        <w:tc>
          <w:tcPr>
            <w:tcW w:type="dxa" w:w="3135"/>
          </w:tcPr>
          <w:p>
            <w:r>
              <w:rPr>
                <w:sz w:val="19"/>
              </w:rPr>
              <w:t>Data Protection Officer</w:t>
            </w:r>
          </w:p>
        </w:tc>
      </w:tr>
      <w:tr>
        <w:tc>
          <w:tcPr>
            <w:tcW w:type="dxa" w:w="3135"/>
          </w:tcPr>
          <w:p>
            <w:r>
              <w:rPr>
                <w:b/>
                <w:sz w:val="20"/>
              </w:rPr>
              <w:t>Privacy Analyst</w:t>
            </w:r>
          </w:p>
        </w:tc>
        <w:tc>
          <w:tcPr>
            <w:tcW w:type="dxa" w:w="3135"/>
          </w:tcPr>
          <w:p>
            <w:r>
              <w:rPr>
                <w:sz w:val="19"/>
              </w:rPr>
              <w:t>Sentinel read-write except jurisdiction config</w:t>
            </w:r>
          </w:p>
        </w:tc>
        <w:tc>
          <w:tcPr>
            <w:tcW w:type="dxa" w:w="3135"/>
          </w:tcPr>
          <w:p>
            <w:r>
              <w:rPr>
                <w:sz w:val="19"/>
              </w:rPr>
              <w:t>Privacy team member</w:t>
            </w:r>
          </w:p>
        </w:tc>
      </w:tr>
      <w:tr>
        <w:tc>
          <w:tcPr>
            <w:tcW w:type="dxa" w:w="3135"/>
          </w:tcPr>
          <w:p>
            <w:r>
              <w:rPr>
                <w:b/>
                <w:sz w:val="20"/>
              </w:rPr>
              <w:t>Risk Manager</w:t>
            </w:r>
          </w:p>
        </w:tc>
        <w:tc>
          <w:tcPr>
            <w:tcW w:type="dxa" w:w="3135"/>
          </w:tcPr>
          <w:p>
            <w:r>
              <w:rPr>
                <w:sz w:val="19"/>
              </w:rPr>
              <w:t>ERM and ORM full access; cross-module risk visibility</w:t>
            </w:r>
          </w:p>
        </w:tc>
        <w:tc>
          <w:tcPr>
            <w:tcW w:type="dxa" w:w="3135"/>
          </w:tcPr>
          <w:p>
            <w:r>
              <w:rPr>
                <w:sz w:val="19"/>
              </w:rPr>
              <w:t>Enterprise risk officer</w:t>
            </w:r>
          </w:p>
        </w:tc>
      </w:tr>
      <w:tr>
        <w:tc>
          <w:tcPr>
            <w:tcW w:type="dxa" w:w="3135"/>
          </w:tcPr>
          <w:p>
            <w:r>
              <w:rPr>
                <w:b/>
                <w:sz w:val="20"/>
              </w:rPr>
              <w:t>Department Head</w:t>
            </w:r>
          </w:p>
        </w:tc>
        <w:tc>
          <w:tcPr>
            <w:tcW w:type="dxa" w:w="3135"/>
          </w:tcPr>
          <w:p>
            <w:r>
              <w:rPr>
                <w:sz w:val="19"/>
              </w:rPr>
              <w:t>Own module read-write; read-only on others</w:t>
            </w:r>
          </w:p>
        </w:tc>
        <w:tc>
          <w:tcPr>
            <w:tcW w:type="dxa" w:w="3135"/>
          </w:tcPr>
          <w:p>
            <w:r>
              <w:rPr>
                <w:sz w:val="19"/>
              </w:rPr>
              <w:t>Divisional manager</w:t>
            </w:r>
          </w:p>
        </w:tc>
      </w:tr>
      <w:tr>
        <w:tc>
          <w:tcPr>
            <w:tcW w:type="dxa" w:w="3135"/>
          </w:tcPr>
          <w:p>
            <w:r>
              <w:rPr>
                <w:b/>
                <w:sz w:val="20"/>
              </w:rPr>
              <w:t>Employee</w:t>
            </w:r>
          </w:p>
        </w:tc>
        <w:tc>
          <w:tcPr>
            <w:tcW w:type="dxa" w:w="3135"/>
          </w:tcPr>
          <w:p>
            <w:r>
              <w:rPr>
                <w:sz w:val="19"/>
              </w:rPr>
              <w:t>Submit events, view own tasks and notifications</w:t>
            </w:r>
          </w:p>
        </w:tc>
        <w:tc>
          <w:tcPr>
            <w:tcW w:type="dxa" w:w="3135"/>
          </w:tcPr>
          <w:p>
            <w:r>
              <w:rPr>
                <w:sz w:val="19"/>
              </w:rPr>
              <w:t>General staff</w:t>
            </w:r>
          </w:p>
        </w:tc>
      </w:tr>
      <w:tr>
        <w:tc>
          <w:tcPr>
            <w:tcW w:type="dxa" w:w="3135"/>
          </w:tcPr>
          <w:p>
            <w:r>
              <w:rPr>
                <w:b/>
                <w:sz w:val="20"/>
              </w:rPr>
              <w:t>External Auditor</w:t>
            </w:r>
          </w:p>
        </w:tc>
        <w:tc>
          <w:tcPr>
            <w:tcW w:type="dxa" w:w="3135"/>
          </w:tcPr>
          <w:p>
            <w:r>
              <w:rPr>
                <w:sz w:val="19"/>
              </w:rPr>
              <w:t>Read-only GRID evidence and reports (via share link)</w:t>
            </w:r>
          </w:p>
        </w:tc>
        <w:tc>
          <w:tcPr>
            <w:tcW w:type="dxa" w:w="3135"/>
          </w:tcPr>
          <w:p>
            <w:r>
              <w:rPr>
                <w:sz w:val="19"/>
              </w:rPr>
              <w:t>Third-party auditor</w:t>
            </w:r>
          </w:p>
        </w:tc>
      </w:tr>
      <w:tr>
        <w:tc>
          <w:tcPr>
            <w:tcW w:type="dxa" w:w="3135"/>
          </w:tcPr>
          <w:p>
            <w:r>
              <w:rPr>
                <w:b/>
                <w:sz w:val="20"/>
              </w:rPr>
              <w:t>Vendor</w:t>
            </w:r>
          </w:p>
        </w:tc>
        <w:tc>
          <w:tcPr>
            <w:tcW w:type="dxa" w:w="3135"/>
          </w:tcPr>
          <w:p>
            <w:r>
              <w:rPr>
                <w:sz w:val="19"/>
              </w:rPr>
              <w:t>View and respond to vendor assessments only</w:t>
            </w:r>
          </w:p>
        </w:tc>
        <w:tc>
          <w:tcPr>
            <w:tcW w:type="dxa" w:w="3135"/>
          </w:tcPr>
          <w:p>
            <w:r>
              <w:rPr>
                <w:sz w:val="19"/>
              </w:rPr>
              <w:t>Third-party supplier</w:t>
            </w:r>
          </w:p>
        </w:tc>
      </w:tr>
      <w:tr>
        <w:tc>
          <w:tcPr>
            <w:tcW w:type="dxa" w:w="3135"/>
          </w:tcPr>
          <w:p>
            <w:r>
              <w:rPr>
                <w:b/>
                <w:sz w:val="20"/>
              </w:rPr>
              <w:t>Read Only</w:t>
            </w:r>
          </w:p>
        </w:tc>
        <w:tc>
          <w:tcPr>
            <w:tcW w:type="dxa" w:w="3135"/>
          </w:tcPr>
          <w:p>
            <w:r>
              <w:rPr>
                <w:sz w:val="19"/>
              </w:rPr>
              <w:t>View all modules, no write access</w:t>
            </w:r>
          </w:p>
        </w:tc>
        <w:tc>
          <w:tcPr>
            <w:tcW w:type="dxa" w:w="3135"/>
          </w:tcPr>
          <w:p>
            <w:r>
              <w:rPr>
                <w:sz w:val="19"/>
              </w:rPr>
              <w:t>Executive / observer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