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jc w:val="center"/>
      </w:pPr>
      <w:r>
        <w:drawing>
          <wp:inline xmlns:a="http://schemas.openxmlformats.org/drawingml/2006/main" xmlns:pic="http://schemas.openxmlformats.org/drawingml/2006/picture">
            <wp:extent cx="2286000" cy="1043126"/>
            <wp:docPr id="1" name="Picture 1"/>
            <wp:cNvGraphicFramePr>
              <a:graphicFrameLocks noChangeAspect="1"/>
            </wp:cNvGraphicFramePr>
            <a:graphic>
              <a:graphicData uri="http://schemas.openxmlformats.org/drawingml/2006/picture">
                <pic:pic>
                  <pic:nvPicPr>
                    <pic:cNvPr id="0" name="omni_logo.jpeg"/>
                    <pic:cNvPicPr/>
                  </pic:nvPicPr>
                  <pic:blipFill>
                    <a:blip r:embed="rId11"/>
                    <a:stretch>
                      <a:fillRect/>
                    </a:stretch>
                  </pic:blipFill>
                  <pic:spPr>
                    <a:xfrm>
                      <a:off x="0" y="0"/>
                      <a:ext cx="2286000" cy="1043126"/>
                    </a:xfrm>
                    <a:prstGeom prst="rect"/>
                  </pic:spPr>
                </pic:pic>
              </a:graphicData>
            </a:graphic>
          </wp:inline>
        </w:drawing>
      </w:r>
    </w:p>
    <w:p/>
    <w:p>
      <w:pPr>
        <w:pBdr>
          <w:bottom w:val="single" w:sz="18" w:space="1" w:color="2C74B5"/>
        </w:pBdr>
        <w:spacing w:before="0" w:after="0"/>
      </w:pPr>
    </w:p>
    <w:p>
      <w:pPr>
        <w:jc w:val="center"/>
      </w:pPr>
      <w:r>
        <w:rPr>
          <w:rFonts w:ascii="Arial" w:hAnsi="Arial"/>
          <w:b/>
          <w:color w:val="2C74B5"/>
          <w:sz w:val="40"/>
        </w:rPr>
        <w:t>DATA PRIVACY &amp; PROTECTION POLICY</w:t>
      </w:r>
    </w:p>
    <w:p>
      <w:pPr>
        <w:jc w:val="center"/>
      </w:pPr>
      <w:r>
        <w:rPr>
          <w:rFonts w:ascii="Arial" w:hAnsi="Arial"/>
          <w:color w:val="4F81BB"/>
          <w:sz w:val="26"/>
        </w:rPr>
        <w:t>Cyber &amp; Data Protection Act (CDPA) | Chapter 12:07 – Zimbabwe</w:t>
      </w:r>
    </w:p>
    <w:p>
      <w:pPr>
        <w:pBdr>
          <w:bottom w:val="single" w:sz="18" w:space="1" w:color="2C74B5"/>
        </w:pBdr>
        <w:spacing w:before="0" w:after="0"/>
      </w:pPr>
    </w:p>
    <w:p/>
    <w:tbl>
      <w:tblPr>
        <w:tblW w:type="auto" w:w="0"/>
        <w:jc w:val="center"/>
        <w:tblLook w:firstColumn="1" w:firstRow="1" w:lastColumn="0" w:lastRow="0" w:noHBand="0" w:noVBand="1" w:val="04A0"/>
      </w:tblPr>
      <w:tblGrid>
        <w:gridCol w:w="4536"/>
        <w:gridCol w:w="4536"/>
      </w:tblGrid>
      <w:tr>
        <w:tc>
          <w:tcPr>
            <w:tcW w:type="dxa" w:w="2880"/>
            <w:shd w:val="clear" w:color="auto" w:fill="D6E4F0"/>
            <w:tcBorders>
              <w:top w:val="single" w:sz="4" w:color="8DB3E0"/>
              <w:left w:val="single" w:sz="4" w:color="8DB3E0"/>
              <w:bottom w:val="single" w:sz="4" w:color="8DB3E0"/>
              <w:right w:val="single" w:sz="4" w:color="8DB3E0"/>
            </w:tcBorders>
          </w:tcPr>
          <w:p>
            <w:r>
              <w:rPr>
                <w:rFonts w:ascii="Arial" w:hAnsi="Arial"/>
                <w:b/>
                <w:color w:val="2C74B5"/>
                <w:sz w:val="20"/>
              </w:rPr>
              <w:t>Document Reference:</w:t>
            </w:r>
          </w:p>
        </w:tc>
        <w:tc>
          <w:tcPr>
            <w:tcW w:type="dxa" w:w="5760"/>
            <w:tcBorders>
              <w:top w:val="single" w:sz="4" w:color="8DB3E0"/>
              <w:left w:val="single" w:sz="4" w:color="8DB3E0"/>
              <w:bottom w:val="single" w:sz="4" w:color="8DB3E0"/>
              <w:right w:val="single" w:sz="4" w:color="8DB3E0"/>
            </w:tcBorders>
          </w:tcPr>
          <w:p>
            <w:r>
              <w:rPr>
                <w:rFonts w:ascii="Arial" w:hAnsi="Arial"/>
                <w:sz w:val="20"/>
              </w:rPr>
              <w:t>CDPA-OMNI-P001</w:t>
            </w:r>
          </w:p>
        </w:tc>
      </w:tr>
      <w:tr>
        <w:tc>
          <w:tcPr>
            <w:tcW w:type="dxa" w:w="2880"/>
            <w:shd w:val="clear" w:color="auto" w:fill="D6E4F0"/>
            <w:tcBorders>
              <w:top w:val="single" w:sz="4" w:color="8DB3E0"/>
              <w:left w:val="single" w:sz="4" w:color="8DB3E0"/>
              <w:bottom w:val="single" w:sz="4" w:color="8DB3E0"/>
              <w:right w:val="single" w:sz="4" w:color="8DB3E0"/>
            </w:tcBorders>
          </w:tcPr>
          <w:p>
            <w:r>
              <w:rPr>
                <w:rFonts w:ascii="Arial" w:hAnsi="Arial"/>
                <w:b/>
                <w:color w:val="2C74B5"/>
                <w:sz w:val="20"/>
              </w:rPr>
              <w:t>Classification:</w:t>
            </w:r>
          </w:p>
        </w:tc>
        <w:tc>
          <w:tcPr>
            <w:tcW w:type="dxa" w:w="5760"/>
            <w:tcBorders>
              <w:top w:val="single" w:sz="4" w:color="8DB3E0"/>
              <w:left w:val="single" w:sz="4" w:color="8DB3E0"/>
              <w:bottom w:val="single" w:sz="4" w:color="8DB3E0"/>
              <w:right w:val="single" w:sz="4" w:color="8DB3E0"/>
            </w:tcBorders>
          </w:tcPr>
          <w:p>
            <w:r>
              <w:rPr>
                <w:rFonts w:ascii="Arial" w:hAnsi="Arial"/>
                <w:sz w:val="20"/>
              </w:rPr>
              <w:t>Company Confidential</w:t>
            </w:r>
          </w:p>
        </w:tc>
      </w:tr>
      <w:tr>
        <w:tc>
          <w:tcPr>
            <w:tcW w:type="dxa" w:w="2880"/>
            <w:shd w:val="clear" w:color="auto" w:fill="D6E4F0"/>
            <w:tcBorders>
              <w:top w:val="single" w:sz="4" w:color="8DB3E0"/>
              <w:left w:val="single" w:sz="4" w:color="8DB3E0"/>
              <w:bottom w:val="single" w:sz="4" w:color="8DB3E0"/>
              <w:right w:val="single" w:sz="4" w:color="8DB3E0"/>
            </w:tcBorders>
          </w:tcPr>
          <w:p>
            <w:r>
              <w:rPr>
                <w:rFonts w:ascii="Arial" w:hAnsi="Arial"/>
                <w:b/>
                <w:color w:val="2C74B5"/>
                <w:sz w:val="20"/>
              </w:rPr>
              <w:t>Version:</w:t>
            </w:r>
          </w:p>
        </w:tc>
        <w:tc>
          <w:tcPr>
            <w:tcW w:type="dxa" w:w="5760"/>
            <w:tcBorders>
              <w:top w:val="single" w:sz="4" w:color="8DB3E0"/>
              <w:left w:val="single" w:sz="4" w:color="8DB3E0"/>
              <w:bottom w:val="single" w:sz="4" w:color="8DB3E0"/>
              <w:right w:val="single" w:sz="4" w:color="8DB3E0"/>
            </w:tcBorders>
          </w:tcPr>
          <w:p>
            <w:r>
              <w:rPr>
                <w:rFonts w:ascii="Arial" w:hAnsi="Arial"/>
                <w:sz w:val="20"/>
              </w:rPr>
              <w:t>1.0</w:t>
            </w:r>
          </w:p>
        </w:tc>
      </w:tr>
      <w:tr>
        <w:tc>
          <w:tcPr>
            <w:tcW w:type="dxa" w:w="2880"/>
            <w:shd w:val="clear" w:color="auto" w:fill="D6E4F0"/>
            <w:tcBorders>
              <w:top w:val="single" w:sz="4" w:color="8DB3E0"/>
              <w:left w:val="single" w:sz="4" w:color="8DB3E0"/>
              <w:bottom w:val="single" w:sz="4" w:color="8DB3E0"/>
              <w:right w:val="single" w:sz="4" w:color="8DB3E0"/>
            </w:tcBorders>
          </w:tcPr>
          <w:p>
            <w:r>
              <w:rPr>
                <w:rFonts w:ascii="Arial" w:hAnsi="Arial"/>
                <w:b/>
                <w:color w:val="2C74B5"/>
                <w:sz w:val="20"/>
              </w:rPr>
              <w:t>Date:</w:t>
            </w:r>
          </w:p>
        </w:tc>
        <w:tc>
          <w:tcPr>
            <w:tcW w:type="dxa" w:w="5760"/>
            <w:tcBorders>
              <w:top w:val="single" w:sz="4" w:color="8DB3E0"/>
              <w:left w:val="single" w:sz="4" w:color="8DB3E0"/>
              <w:bottom w:val="single" w:sz="4" w:color="8DB3E0"/>
              <w:right w:val="single" w:sz="4" w:color="8DB3E0"/>
            </w:tcBorders>
          </w:tcPr>
          <w:p>
            <w:r>
              <w:rPr>
                <w:rFonts w:ascii="Arial" w:hAnsi="Arial"/>
                <w:sz w:val="20"/>
              </w:rPr>
              <w:t>24 March 2026</w:t>
            </w:r>
          </w:p>
        </w:tc>
      </w:tr>
      <w:tr>
        <w:tc>
          <w:tcPr>
            <w:tcW w:type="dxa" w:w="2880"/>
            <w:shd w:val="clear" w:color="auto" w:fill="D6E4F0"/>
            <w:tcBorders>
              <w:top w:val="single" w:sz="4" w:color="8DB3E0"/>
              <w:left w:val="single" w:sz="4" w:color="8DB3E0"/>
              <w:bottom w:val="single" w:sz="4" w:color="8DB3E0"/>
              <w:right w:val="single" w:sz="4" w:color="8DB3E0"/>
            </w:tcBorders>
          </w:tcPr>
          <w:p>
            <w:r>
              <w:rPr>
                <w:rFonts w:ascii="Arial" w:hAnsi="Arial"/>
                <w:b/>
                <w:color w:val="2C74B5"/>
                <w:sz w:val="20"/>
              </w:rPr>
              <w:t>Document Owner:</w:t>
            </w:r>
          </w:p>
        </w:tc>
        <w:tc>
          <w:tcPr>
            <w:tcW w:type="dxa" w:w="5760"/>
            <w:tcBorders>
              <w:top w:val="single" w:sz="4" w:color="8DB3E0"/>
              <w:left w:val="single" w:sz="4" w:color="8DB3E0"/>
              <w:bottom w:val="single" w:sz="4" w:color="8DB3E0"/>
              <w:right w:val="single" w:sz="4" w:color="8DB3E0"/>
            </w:tcBorders>
          </w:tcPr>
          <w:p>
            <w:r>
              <w:rPr>
                <w:rFonts w:ascii="Arial" w:hAnsi="Arial"/>
                <w:sz w:val="20"/>
              </w:rPr>
              <w:t>Vivian Tsongorera – Risk &amp; Compliance Officer</w:t>
            </w:r>
          </w:p>
        </w:tc>
      </w:tr>
    </w:tbl>
    <w:p/>
    <w:p>
      <w:pPr>
        <w:jc w:val="center"/>
      </w:pPr>
      <w:r>
        <w:rPr>
          <w:rFonts w:ascii="Arial" w:hAnsi="Arial"/>
          <w:i/>
          <w:color w:val="404040"/>
          <w:sz w:val="16"/>
        </w:rPr>
        <w:t>The content and format of this document is the intellectual property of OmniContact BPO Services, its divisions, subsidiaries, and affiliates. It is copyright protected and classified as "Company Confidential" and may not be used, copied, or reproduced without express written permission.</w:t>
      </w:r>
    </w:p>
    <w:p>
      <w:r>
        <w:br w:type="page"/>
      </w:r>
    </w:p>
    <w:p>
      <w:pPr>
        <w:pStyle w:val="Heading1"/>
      </w:pPr>
      <w:r>
        <w:rPr>
          <w:color w:val="2C74B5"/>
        </w:rPr>
        <w:t>Document Version History</w:t>
      </w:r>
    </w:p>
    <w:tbl>
      <w:tblPr>
        <w:tblStyle w:val="TableGrid"/>
        <w:tblW w:type="auto" w:w="0"/>
        <w:tblLook w:firstColumn="1" w:firstRow="1" w:lastColumn="0" w:lastRow="0" w:noHBand="0" w:noVBand="1" w:val="04A0"/>
      </w:tblPr>
      <w:tblGrid>
        <w:gridCol w:w="2268"/>
        <w:gridCol w:w="2268"/>
        <w:gridCol w:w="2268"/>
        <w:gridCol w:w="2268"/>
      </w:tblGrid>
      <w:tr>
        <w:tc>
          <w:tcPr>
            <w:tcW w:type="dxa" w:w="1152"/>
            <w:shd w:val="clear" w:color="auto" w:fill="2C74B5"/>
          </w:tcPr>
          <w:p>
            <w:r>
              <w:rPr>
                <w:rFonts w:ascii="Arial" w:hAnsi="Arial"/>
                <w:b/>
                <w:color w:val="FFFFFF"/>
                <w:sz w:val="18"/>
              </w:rPr>
              <w:t>Version</w:t>
            </w:r>
          </w:p>
        </w:tc>
        <w:tc>
          <w:tcPr>
            <w:tcW w:type="dxa" w:w="2592"/>
            <w:shd w:val="clear" w:color="auto" w:fill="2C74B5"/>
          </w:tcPr>
          <w:p>
            <w:r>
              <w:rPr>
                <w:rFonts w:ascii="Arial" w:hAnsi="Arial"/>
                <w:b/>
                <w:color w:val="FFFFFF"/>
                <w:sz w:val="18"/>
              </w:rPr>
              <w:t>Author</w:t>
            </w:r>
          </w:p>
        </w:tc>
        <w:tc>
          <w:tcPr>
            <w:tcW w:type="dxa" w:w="4320"/>
            <w:shd w:val="clear" w:color="auto" w:fill="2C74B5"/>
          </w:tcPr>
          <w:p>
            <w:r>
              <w:rPr>
                <w:rFonts w:ascii="Arial" w:hAnsi="Arial"/>
                <w:b/>
                <w:color w:val="FFFFFF"/>
                <w:sz w:val="18"/>
              </w:rPr>
              <w:t>Changes</w:t>
            </w:r>
          </w:p>
        </w:tc>
        <w:tc>
          <w:tcPr>
            <w:tcW w:type="dxa" w:w="1440"/>
            <w:shd w:val="clear" w:color="auto" w:fill="2C74B5"/>
          </w:tcPr>
          <w:p>
            <w:r>
              <w:rPr>
                <w:rFonts w:ascii="Arial" w:hAnsi="Arial"/>
                <w:b/>
                <w:color w:val="FFFFFF"/>
                <w:sz w:val="18"/>
              </w:rPr>
              <w:t>Date</w:t>
            </w:r>
          </w:p>
        </w:tc>
      </w:tr>
      <w:tr>
        <w:tc>
          <w:tcPr>
            <w:tcW w:type="dxa" w:w="1152"/>
          </w:tcPr>
          <w:p>
            <w:r>
              <w:rPr>
                <w:rFonts w:ascii="Arial" w:hAnsi="Arial"/>
                <w:sz w:val="18"/>
              </w:rPr>
              <w:t>1.0</w:t>
            </w:r>
          </w:p>
        </w:tc>
        <w:tc>
          <w:tcPr>
            <w:tcW w:type="dxa" w:w="2592"/>
          </w:tcPr>
          <w:p>
            <w:r>
              <w:rPr>
                <w:rFonts w:ascii="Arial" w:hAnsi="Arial"/>
                <w:sz w:val="18"/>
              </w:rPr>
              <w:t>Vivian Tsongorera</w:t>
            </w:r>
          </w:p>
        </w:tc>
        <w:tc>
          <w:tcPr>
            <w:tcW w:type="dxa" w:w="4320"/>
          </w:tcPr>
          <w:p>
            <w:r>
              <w:rPr>
                <w:rFonts w:ascii="Arial" w:hAnsi="Arial"/>
                <w:sz w:val="18"/>
              </w:rPr>
              <w:t>Initial issue — CDPA compliance baseline</w:t>
            </w:r>
          </w:p>
        </w:tc>
        <w:tc>
          <w:tcPr>
            <w:tcW w:type="dxa" w:w="1440"/>
          </w:tcPr>
          <w:p>
            <w:r>
              <w:rPr>
                <w:rFonts w:ascii="Arial" w:hAnsi="Arial"/>
                <w:sz w:val="18"/>
              </w:rPr>
              <w:t>24 March 2026</w:t>
            </w:r>
          </w:p>
        </w:tc>
      </w:tr>
    </w:tbl>
    <w:p/>
    <w:p>
      <w:r>
        <w:br w:type="page"/>
      </w:r>
    </w:p>
    <w:p>
      <w:pPr>
        <w:pStyle w:val="Heading1"/>
      </w:pPr>
      <w:r>
        <w:rPr>
          <w:rFonts w:ascii="Arial" w:hAnsi="Arial"/>
          <w:color w:val="2C74B5"/>
          <w:sz w:val="26"/>
        </w:rPr>
        <w:t>Table of Contents</w:t>
      </w:r>
    </w:p>
    <w:p>
      <w:pPr>
        <w:spacing w:after="40"/>
      </w:pPr>
      <w:r>
        <w:rPr>
          <w:rFonts w:ascii="Arial" w:hAnsi="Arial"/>
          <w:b/>
          <w:color w:val="2C74B5"/>
          <w:sz w:val="20"/>
        </w:rPr>
        <w:t xml:space="preserve">1  </w:t>
      </w:r>
      <w:r>
        <w:rPr>
          <w:rFonts w:ascii="Arial" w:hAnsi="Arial"/>
          <w:sz w:val="20"/>
        </w:rPr>
        <w:t>Purpose and Scope</w:t>
      </w:r>
    </w:p>
    <w:p>
      <w:pPr>
        <w:spacing w:after="40"/>
      </w:pPr>
      <w:r>
        <w:rPr>
          <w:rFonts w:ascii="Arial" w:hAnsi="Arial"/>
          <w:b/>
          <w:color w:val="2C74B5"/>
          <w:sz w:val="20"/>
        </w:rPr>
        <w:t xml:space="preserve">2  </w:t>
      </w:r>
      <w:r>
        <w:rPr>
          <w:rFonts w:ascii="Arial" w:hAnsi="Arial"/>
          <w:sz w:val="20"/>
        </w:rPr>
        <w:t>Definitions</w:t>
      </w:r>
    </w:p>
    <w:p>
      <w:pPr>
        <w:spacing w:after="40"/>
      </w:pPr>
      <w:r>
        <w:rPr>
          <w:rFonts w:ascii="Arial" w:hAnsi="Arial"/>
          <w:b/>
          <w:color w:val="2C74B5"/>
          <w:sz w:val="20"/>
        </w:rPr>
        <w:t xml:space="preserve">3  </w:t>
      </w:r>
      <w:r>
        <w:rPr>
          <w:rFonts w:ascii="Arial" w:hAnsi="Arial"/>
          <w:sz w:val="20"/>
        </w:rPr>
        <w:t>Data Protection Principles</w:t>
      </w:r>
    </w:p>
    <w:p>
      <w:pPr>
        <w:spacing w:after="40"/>
      </w:pPr>
      <w:r>
        <w:rPr>
          <w:rFonts w:ascii="Arial" w:hAnsi="Arial"/>
          <w:b/>
          <w:color w:val="2C74B5"/>
          <w:sz w:val="20"/>
        </w:rPr>
        <w:t xml:space="preserve">4  </w:t>
      </w:r>
      <w:r>
        <w:rPr>
          <w:rFonts w:ascii="Arial" w:hAnsi="Arial"/>
          <w:sz w:val="20"/>
        </w:rPr>
        <w:t>Roles and Responsibilities</w:t>
      </w:r>
    </w:p>
    <w:p>
      <w:pPr>
        <w:spacing w:after="40"/>
      </w:pPr>
      <w:r>
        <w:rPr>
          <w:rFonts w:ascii="Arial" w:hAnsi="Arial"/>
          <w:b/>
          <w:color w:val="2C74B5"/>
          <w:sz w:val="20"/>
        </w:rPr>
        <w:t xml:space="preserve">5  </w:t>
      </w:r>
      <w:r>
        <w:rPr>
          <w:rFonts w:ascii="Arial" w:hAnsi="Arial"/>
          <w:sz w:val="20"/>
        </w:rPr>
        <w:t>Legal Basis for Processing</w:t>
      </w:r>
    </w:p>
    <w:p>
      <w:pPr>
        <w:spacing w:after="40"/>
      </w:pPr>
      <w:r>
        <w:rPr>
          <w:rFonts w:ascii="Arial" w:hAnsi="Arial"/>
          <w:b/>
          <w:color w:val="2C74B5"/>
          <w:sz w:val="20"/>
        </w:rPr>
        <w:t xml:space="preserve">6  </w:t>
      </w:r>
      <w:r>
        <w:rPr>
          <w:rFonts w:ascii="Arial" w:hAnsi="Arial"/>
          <w:sz w:val="20"/>
        </w:rPr>
        <w:t>Rights of Data Subjects</w:t>
      </w:r>
    </w:p>
    <w:p>
      <w:pPr>
        <w:spacing w:after="40"/>
      </w:pPr>
      <w:r>
        <w:rPr>
          <w:rFonts w:ascii="Arial" w:hAnsi="Arial"/>
          <w:b/>
          <w:color w:val="2C74B5"/>
          <w:sz w:val="20"/>
        </w:rPr>
        <w:t xml:space="preserve">7  </w:t>
      </w:r>
      <w:r>
        <w:rPr>
          <w:rFonts w:ascii="Arial" w:hAnsi="Arial"/>
          <w:sz w:val="20"/>
        </w:rPr>
        <w:t>Special Category (Sensitive) Personal Data</w:t>
      </w:r>
    </w:p>
    <w:p>
      <w:pPr>
        <w:spacing w:after="40"/>
      </w:pPr>
      <w:r>
        <w:rPr>
          <w:rFonts w:ascii="Arial" w:hAnsi="Arial"/>
          <w:b/>
          <w:color w:val="2C74B5"/>
          <w:sz w:val="20"/>
        </w:rPr>
        <w:t xml:space="preserve">8  </w:t>
      </w:r>
      <w:r>
        <w:rPr>
          <w:rFonts w:ascii="Arial" w:hAnsi="Arial"/>
          <w:sz w:val="20"/>
        </w:rPr>
        <w:t>Cross-Border Data Transfers</w:t>
      </w:r>
    </w:p>
    <w:p>
      <w:pPr>
        <w:spacing w:after="40"/>
      </w:pPr>
      <w:r>
        <w:rPr>
          <w:rFonts w:ascii="Arial" w:hAnsi="Arial"/>
          <w:b/>
          <w:color w:val="2C74B5"/>
          <w:sz w:val="20"/>
        </w:rPr>
        <w:t xml:space="preserve">9  </w:t>
      </w:r>
      <w:r>
        <w:rPr>
          <w:rFonts w:ascii="Arial" w:hAnsi="Arial"/>
          <w:sz w:val="20"/>
        </w:rPr>
        <w:t>Data Security</w:t>
      </w:r>
    </w:p>
    <w:p>
      <w:pPr>
        <w:spacing w:after="40"/>
      </w:pPr>
      <w:r>
        <w:rPr>
          <w:rFonts w:ascii="Arial" w:hAnsi="Arial"/>
          <w:b/>
          <w:color w:val="2C74B5"/>
          <w:sz w:val="20"/>
        </w:rPr>
        <w:t xml:space="preserve">10  </w:t>
      </w:r>
      <w:r>
        <w:rPr>
          <w:rFonts w:ascii="Arial" w:hAnsi="Arial"/>
          <w:sz w:val="20"/>
        </w:rPr>
        <w:t>Breach Notification</w:t>
      </w:r>
    </w:p>
    <w:p>
      <w:pPr>
        <w:spacing w:after="40"/>
      </w:pPr>
      <w:r>
        <w:rPr>
          <w:rFonts w:ascii="Arial" w:hAnsi="Arial"/>
          <w:b/>
          <w:color w:val="2C74B5"/>
          <w:sz w:val="20"/>
        </w:rPr>
        <w:t xml:space="preserve">11  </w:t>
      </w:r>
      <w:r>
        <w:rPr>
          <w:rFonts w:ascii="Arial" w:hAnsi="Arial"/>
          <w:sz w:val="20"/>
        </w:rPr>
        <w:t>Data Retention and Disposal</w:t>
      </w:r>
    </w:p>
    <w:p>
      <w:pPr>
        <w:spacing w:after="40"/>
      </w:pPr>
      <w:r>
        <w:rPr>
          <w:rFonts w:ascii="Arial" w:hAnsi="Arial"/>
          <w:b/>
          <w:color w:val="2C74B5"/>
          <w:sz w:val="20"/>
        </w:rPr>
        <w:t xml:space="preserve">12  </w:t>
      </w:r>
      <w:r>
        <w:rPr>
          <w:rFonts w:ascii="Arial" w:hAnsi="Arial"/>
          <w:sz w:val="20"/>
        </w:rPr>
        <w:t>Training and Awareness</w:t>
      </w:r>
    </w:p>
    <w:p>
      <w:pPr>
        <w:spacing w:after="40"/>
      </w:pPr>
      <w:r>
        <w:rPr>
          <w:rFonts w:ascii="Arial" w:hAnsi="Arial"/>
          <w:b/>
          <w:color w:val="2C74B5"/>
          <w:sz w:val="20"/>
        </w:rPr>
        <w:t xml:space="preserve">13  </w:t>
      </w:r>
      <w:r>
        <w:rPr>
          <w:rFonts w:ascii="Arial" w:hAnsi="Arial"/>
          <w:sz w:val="20"/>
        </w:rPr>
        <w:t>Compliance, Monitoring, and Enforcement</w:t>
      </w:r>
    </w:p>
    <w:p>
      <w:pPr>
        <w:spacing w:after="40"/>
      </w:pPr>
      <w:r>
        <w:rPr>
          <w:rFonts w:ascii="Arial" w:hAnsi="Arial"/>
          <w:b/>
          <w:color w:val="2C74B5"/>
          <w:sz w:val="20"/>
        </w:rPr>
        <w:t xml:space="preserve">14  </w:t>
      </w:r>
      <w:r>
        <w:rPr>
          <w:rFonts w:ascii="Arial" w:hAnsi="Arial"/>
          <w:sz w:val="20"/>
        </w:rPr>
        <w:t>Review</w:t>
      </w:r>
    </w:p>
    <w:p>
      <w:pPr>
        <w:spacing w:after="40"/>
      </w:pPr>
      <w:r>
        <w:rPr>
          <w:rFonts w:ascii="Arial" w:hAnsi="Arial"/>
          <w:b/>
          <w:color w:val="2C74B5"/>
          <w:sz w:val="20"/>
        </w:rPr>
        <w:t xml:space="preserve">Annex A  </w:t>
      </w:r>
      <w:r>
        <w:rPr>
          <w:rFonts w:ascii="Arial" w:hAnsi="Arial"/>
          <w:sz w:val="20"/>
        </w:rPr>
        <w:t>CDPA Legal Basis Quick Reference</w:t>
      </w:r>
    </w:p>
    <w:p>
      <w:r>
        <w:br w:type="page"/>
      </w:r>
    </w:p>
    <w:p>
      <w:pPr>
        <w:pStyle w:val="Heading1"/>
      </w:pPr>
      <w:r>
        <w:rPr>
          <w:rFonts w:ascii="Arial" w:hAnsi="Arial"/>
          <w:color w:val="2C74B5"/>
          <w:sz w:val="26"/>
        </w:rPr>
        <w:t>1.  Purpose and Scope</w:t>
      </w:r>
    </w:p>
    <w:p>
      <w:r>
        <w:rPr>
          <w:rFonts w:ascii="Arial" w:hAnsi="Arial"/>
          <w:b w:val="0"/>
          <w:sz w:val="20"/>
        </w:rPr>
        <w:t>OmniContact BPO Services (Pvt) Ltd (hereinafter 'OmniContact' or 'the Company') is committed to protecting the personal data of its employees, clients, data subjects, and all individuals whose data it processes. This Policy establishes the framework through which OmniContact meets its obligations under the Zimbabwe Cyber and Data Protection Act (CDPA), Chapter 12:07, and any subsidiary legislation, guidelines, or directives issued thereunder by the Postal and Telecommunications Regulatory Authority of Zimbabwe (POTRAZ) and the Cyber Security Centre of Zimbabwe.</w:t>
      </w:r>
    </w:p>
    <w:p/>
    <w:p>
      <w:r>
        <w:rPr>
          <w:rFonts w:ascii="Arial" w:hAnsi="Arial"/>
          <w:b w:val="0"/>
          <w:sz w:val="20"/>
        </w:rPr>
        <w:t>This Policy applies to:</w:t>
      </w:r>
    </w:p>
    <w:p>
      <w:pPr>
        <w:pStyle w:val="ListBullet"/>
        <w:ind w:left="432"/>
      </w:pPr>
      <w:r>
        <w:rPr>
          <w:rFonts w:ascii="Arial" w:hAnsi="Arial"/>
          <w:sz w:val="20"/>
        </w:rPr>
        <w:t>All OmniContact employees, contractors, temporary staff, and interns.</w:t>
      </w:r>
    </w:p>
    <w:p>
      <w:pPr>
        <w:pStyle w:val="ListBullet"/>
        <w:ind w:left="432"/>
      </w:pPr>
      <w:r>
        <w:rPr>
          <w:rFonts w:ascii="Arial" w:hAnsi="Arial"/>
          <w:sz w:val="20"/>
        </w:rPr>
        <w:t>All personal data processed by OmniContact in any format (digital, paper, audio, or otherwise).</w:t>
      </w:r>
    </w:p>
    <w:p>
      <w:pPr>
        <w:pStyle w:val="ListBullet"/>
        <w:ind w:left="432"/>
      </w:pPr>
      <w:r>
        <w:rPr>
          <w:rFonts w:ascii="Arial" w:hAnsi="Arial"/>
          <w:sz w:val="20"/>
        </w:rPr>
        <w:t>All systems, platforms, and services used to process personal data, including third-party and cloud systems.</w:t>
      </w:r>
    </w:p>
    <w:p>
      <w:pPr>
        <w:pStyle w:val="ListBullet"/>
        <w:ind w:left="432"/>
      </w:pPr>
      <w:r>
        <w:rPr>
          <w:rFonts w:ascii="Arial" w:hAnsi="Arial"/>
          <w:sz w:val="20"/>
        </w:rPr>
        <w:t>OmniContact's operations as both a data controller (in respect of employee data) and data processor (in respect of client data processed on behalf of client organisations).</w:t>
      </w:r>
    </w:p>
    <w:p/>
    <w:p>
      <w:r>
        <w:rPr>
          <w:rFonts w:ascii="Arial" w:hAnsi="Arial"/>
          <w:b w:val="0"/>
          <w:sz w:val="20"/>
        </w:rPr>
        <w:t>This Policy must be read in conjunction with related policies including the Information Security Policy (ISMS-OMNI-P001), the Data Retention &amp; Disposal Policy (CDPA-OMNI-P002), and the Data Classification Policy (CDPA-OMNI-P003).</w:t>
      </w:r>
    </w:p>
    <w:p>
      <w:r>
        <w:br w:type="page"/>
      </w:r>
    </w:p>
    <w:p>
      <w:pPr>
        <w:pStyle w:val="Heading1"/>
      </w:pPr>
      <w:r>
        <w:rPr>
          <w:rFonts w:ascii="Arial" w:hAnsi="Arial"/>
          <w:color w:val="2C74B5"/>
          <w:sz w:val="26"/>
        </w:rPr>
        <w:t>2.  Definitions</w:t>
      </w:r>
    </w:p>
    <w:p>
      <w:r>
        <w:rPr>
          <w:rFonts w:ascii="Arial" w:hAnsi="Arial"/>
          <w:b w:val="0"/>
          <w:sz w:val="20"/>
        </w:rPr>
        <w:t>The following definitions apply throughout this Policy, consistent with the Zimbabwe CDPA Chapter 12:07:</w:t>
      </w:r>
    </w:p>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2C74B5"/>
          </w:tcPr>
          <w:p>
            <w:r>
              <w:rPr>
                <w:rFonts w:ascii="Arial" w:hAnsi="Arial"/>
                <w:b/>
                <w:color w:val="FFFFFF"/>
                <w:sz w:val="18"/>
              </w:rPr>
              <w:t>Term</w:t>
            </w:r>
          </w:p>
        </w:tc>
        <w:tc>
          <w:tcPr>
            <w:tcW w:type="dxa" w:w="4536"/>
            <w:shd w:val="clear" w:color="auto" w:fill="2C74B5"/>
          </w:tcPr>
          <w:p>
            <w:r>
              <w:rPr>
                <w:rFonts w:ascii="Arial" w:hAnsi="Arial"/>
                <w:b/>
                <w:color w:val="FFFFFF"/>
                <w:sz w:val="18"/>
              </w:rPr>
              <w:t>Definition</w:t>
            </w:r>
          </w:p>
        </w:tc>
      </w:tr>
      <w:tr>
        <w:tc>
          <w:tcPr>
            <w:tcW w:type="dxa" w:w="2592"/>
            <w:shd w:val="clear" w:color="auto" w:fill="FFFFFF"/>
          </w:tcPr>
          <w:p>
            <w:r>
              <w:rPr>
                <w:rFonts w:ascii="Arial" w:hAnsi="Arial"/>
                <w:b/>
                <w:color w:val="2C74B5"/>
                <w:sz w:val="18"/>
              </w:rPr>
              <w:t>Personal Data</w:t>
            </w:r>
          </w:p>
        </w:tc>
        <w:tc>
          <w:tcPr>
            <w:tcW w:type="dxa" w:w="6480"/>
            <w:shd w:val="clear" w:color="auto" w:fill="FFFFFF"/>
          </w:tcPr>
          <w:p>
            <w:r>
              <w:rPr>
                <w:rFonts w:ascii="Arial" w:hAnsi="Arial"/>
                <w:sz w:val="18"/>
              </w:rPr>
              <w:t>Any information relating to an identified or identifiable natural person (data subject), including name, identification number, location data, or factors specific to physical, physiological, genetic, mental, economic, cultural, or social identity.</w:t>
            </w:r>
          </w:p>
        </w:tc>
      </w:tr>
      <w:tr>
        <w:tc>
          <w:tcPr>
            <w:tcW w:type="dxa" w:w="2592"/>
            <w:shd w:val="clear" w:color="auto" w:fill="EBF3FA"/>
          </w:tcPr>
          <w:p>
            <w:r>
              <w:rPr>
                <w:rFonts w:ascii="Arial" w:hAnsi="Arial"/>
                <w:b/>
                <w:color w:val="2C74B5"/>
                <w:sz w:val="18"/>
              </w:rPr>
              <w:t>Sensitive Personal Data</w:t>
            </w:r>
          </w:p>
        </w:tc>
        <w:tc>
          <w:tcPr>
            <w:tcW w:type="dxa" w:w="6480"/>
            <w:shd w:val="clear" w:color="auto" w:fill="EBF3FA"/>
          </w:tcPr>
          <w:p>
            <w:r>
              <w:rPr>
                <w:rFonts w:ascii="Arial" w:hAnsi="Arial"/>
                <w:sz w:val="18"/>
              </w:rPr>
              <w:t>Personal data revealing racial or ethnic origin, political opinions, religious or philosophical beliefs, trade union membership, health data, sex life or sexual orientation, biometric data, or criminal records. Also referred to as special category data.</w:t>
            </w:r>
          </w:p>
        </w:tc>
      </w:tr>
      <w:tr>
        <w:tc>
          <w:tcPr>
            <w:tcW w:type="dxa" w:w="2592"/>
            <w:shd w:val="clear" w:color="auto" w:fill="FFFFFF"/>
          </w:tcPr>
          <w:p>
            <w:r>
              <w:rPr>
                <w:rFonts w:ascii="Arial" w:hAnsi="Arial"/>
                <w:b/>
                <w:color w:val="2C74B5"/>
                <w:sz w:val="18"/>
              </w:rPr>
              <w:t>Data Subject</w:t>
            </w:r>
          </w:p>
        </w:tc>
        <w:tc>
          <w:tcPr>
            <w:tcW w:type="dxa" w:w="6480"/>
            <w:shd w:val="clear" w:color="auto" w:fill="FFFFFF"/>
          </w:tcPr>
          <w:p>
            <w:r>
              <w:rPr>
                <w:rFonts w:ascii="Arial" w:hAnsi="Arial"/>
                <w:sz w:val="18"/>
              </w:rPr>
              <w:t>A natural person whose personal data is being processed by OmniContact.</w:t>
            </w:r>
          </w:p>
        </w:tc>
      </w:tr>
      <w:tr>
        <w:tc>
          <w:tcPr>
            <w:tcW w:type="dxa" w:w="2592"/>
            <w:shd w:val="clear" w:color="auto" w:fill="EBF3FA"/>
          </w:tcPr>
          <w:p>
            <w:r>
              <w:rPr>
                <w:rFonts w:ascii="Arial" w:hAnsi="Arial"/>
                <w:b/>
                <w:color w:val="2C74B5"/>
                <w:sz w:val="18"/>
              </w:rPr>
              <w:t>Data Controller</w:t>
            </w:r>
          </w:p>
        </w:tc>
        <w:tc>
          <w:tcPr>
            <w:tcW w:type="dxa" w:w="6480"/>
            <w:shd w:val="clear" w:color="auto" w:fill="EBF3FA"/>
          </w:tcPr>
          <w:p>
            <w:r>
              <w:rPr>
                <w:rFonts w:ascii="Arial" w:hAnsi="Arial"/>
                <w:sz w:val="18"/>
              </w:rPr>
              <w:t>The natural or legal person who, alone or jointly with others, determines the purposes and means of the processing of personal data. OmniContact acts as data controller for employee personal data.</w:t>
            </w:r>
          </w:p>
        </w:tc>
      </w:tr>
      <w:tr>
        <w:tc>
          <w:tcPr>
            <w:tcW w:type="dxa" w:w="2592"/>
            <w:shd w:val="clear" w:color="auto" w:fill="FFFFFF"/>
          </w:tcPr>
          <w:p>
            <w:r>
              <w:rPr>
                <w:rFonts w:ascii="Arial" w:hAnsi="Arial"/>
                <w:b/>
                <w:color w:val="2C74B5"/>
                <w:sz w:val="18"/>
              </w:rPr>
              <w:t>Data Processor</w:t>
            </w:r>
          </w:p>
        </w:tc>
        <w:tc>
          <w:tcPr>
            <w:tcW w:type="dxa" w:w="6480"/>
            <w:shd w:val="clear" w:color="auto" w:fill="FFFFFF"/>
          </w:tcPr>
          <w:p>
            <w:r>
              <w:rPr>
                <w:rFonts w:ascii="Arial" w:hAnsi="Arial"/>
                <w:sz w:val="18"/>
              </w:rPr>
              <w:t>A natural or legal person that processes personal data on behalf of the data controller. OmniContact acts as data processor for data processed on behalf of its client organisations.</w:t>
            </w:r>
          </w:p>
        </w:tc>
      </w:tr>
      <w:tr>
        <w:tc>
          <w:tcPr>
            <w:tcW w:type="dxa" w:w="2592"/>
            <w:shd w:val="clear" w:color="auto" w:fill="EBF3FA"/>
          </w:tcPr>
          <w:p>
            <w:r>
              <w:rPr>
                <w:rFonts w:ascii="Arial" w:hAnsi="Arial"/>
                <w:b/>
                <w:color w:val="2C74B5"/>
                <w:sz w:val="18"/>
              </w:rPr>
              <w:t>Processing</w:t>
            </w:r>
          </w:p>
        </w:tc>
        <w:tc>
          <w:tcPr>
            <w:tcW w:type="dxa" w:w="6480"/>
            <w:shd w:val="clear" w:color="auto" w:fill="EBF3FA"/>
          </w:tcPr>
          <w:p>
            <w:r>
              <w:rPr>
                <w:rFonts w:ascii="Arial" w:hAnsi="Arial"/>
                <w:sz w:val="18"/>
              </w:rPr>
              <w:t>Any operation performed on personal data, including collection, recording, organisation, structuring, storage, adaptation, retrieval, use, disclosure, dissemination, restriction, erasure, or destruction.</w:t>
            </w:r>
          </w:p>
        </w:tc>
      </w:tr>
      <w:tr>
        <w:tc>
          <w:tcPr>
            <w:tcW w:type="dxa" w:w="2592"/>
            <w:shd w:val="clear" w:color="auto" w:fill="FFFFFF"/>
          </w:tcPr>
          <w:p>
            <w:r>
              <w:rPr>
                <w:rFonts w:ascii="Arial" w:hAnsi="Arial"/>
                <w:b/>
                <w:color w:val="2C74B5"/>
                <w:sz w:val="18"/>
              </w:rPr>
              <w:t>Consent</w:t>
            </w:r>
          </w:p>
        </w:tc>
        <w:tc>
          <w:tcPr>
            <w:tcW w:type="dxa" w:w="6480"/>
            <w:shd w:val="clear" w:color="auto" w:fill="FFFFFF"/>
          </w:tcPr>
          <w:p>
            <w:r>
              <w:rPr>
                <w:rFonts w:ascii="Arial" w:hAnsi="Arial"/>
                <w:sz w:val="18"/>
              </w:rPr>
              <w:t>A freely given, specific, informed, and unambiguous indication of the data subject's agreement to the processing of their personal data, provided by a statement or a clear affirmative action.</w:t>
            </w:r>
          </w:p>
        </w:tc>
      </w:tr>
      <w:tr>
        <w:tc>
          <w:tcPr>
            <w:tcW w:type="dxa" w:w="2592"/>
            <w:shd w:val="clear" w:color="auto" w:fill="EBF3FA"/>
          </w:tcPr>
          <w:p>
            <w:r>
              <w:rPr>
                <w:rFonts w:ascii="Arial" w:hAnsi="Arial"/>
                <w:b/>
                <w:color w:val="2C74B5"/>
                <w:sz w:val="18"/>
              </w:rPr>
              <w:t>Data Breach</w:t>
            </w:r>
          </w:p>
        </w:tc>
        <w:tc>
          <w:tcPr>
            <w:tcW w:type="dxa" w:w="6480"/>
            <w:shd w:val="clear" w:color="auto" w:fill="EBF3FA"/>
          </w:tcPr>
          <w:p>
            <w:r>
              <w:rPr>
                <w:rFonts w:ascii="Arial" w:hAnsi="Arial"/>
                <w:sz w:val="18"/>
              </w:rPr>
              <w:t>A breach of security leading to the accidental or unlawful destruction, loss, alteration, unauthorised disclosure of, or access to, personal data.</w:t>
            </w:r>
          </w:p>
        </w:tc>
      </w:tr>
      <w:tr>
        <w:tc>
          <w:tcPr>
            <w:tcW w:type="dxa" w:w="2592"/>
            <w:shd w:val="clear" w:color="auto" w:fill="FFFFFF"/>
          </w:tcPr>
          <w:p>
            <w:r>
              <w:rPr>
                <w:rFonts w:ascii="Arial" w:hAnsi="Arial"/>
                <w:b/>
                <w:color w:val="2C74B5"/>
                <w:sz w:val="18"/>
              </w:rPr>
              <w:t>DPO</w:t>
            </w:r>
          </w:p>
        </w:tc>
        <w:tc>
          <w:tcPr>
            <w:tcW w:type="dxa" w:w="6480"/>
            <w:shd w:val="clear" w:color="auto" w:fill="FFFFFF"/>
          </w:tcPr>
          <w:p>
            <w:r>
              <w:rPr>
                <w:rFonts w:ascii="Arial" w:hAnsi="Arial"/>
                <w:sz w:val="18"/>
              </w:rPr>
              <w:t>Data Protection Officer — the designated individual responsible for overseeing data protection compliance at OmniContact.</w:t>
            </w:r>
          </w:p>
        </w:tc>
      </w:tr>
      <w:tr>
        <w:tc>
          <w:tcPr>
            <w:tcW w:type="dxa" w:w="2592"/>
            <w:shd w:val="clear" w:color="auto" w:fill="EBF3FA"/>
          </w:tcPr>
          <w:p>
            <w:r>
              <w:rPr>
                <w:rFonts w:ascii="Arial" w:hAnsi="Arial"/>
                <w:b/>
                <w:color w:val="2C74B5"/>
                <w:sz w:val="18"/>
              </w:rPr>
              <w:t>CDPA</w:t>
            </w:r>
          </w:p>
        </w:tc>
        <w:tc>
          <w:tcPr>
            <w:tcW w:type="dxa" w:w="6480"/>
            <w:shd w:val="clear" w:color="auto" w:fill="EBF3FA"/>
          </w:tcPr>
          <w:p>
            <w:r>
              <w:rPr>
                <w:rFonts w:ascii="Arial" w:hAnsi="Arial"/>
                <w:sz w:val="18"/>
              </w:rPr>
              <w:t>Cyber and Data Protection Act, Chapter 12:07 of the Laws of Zimbabwe.</w:t>
            </w:r>
          </w:p>
        </w:tc>
      </w:tr>
      <w:tr>
        <w:tc>
          <w:tcPr>
            <w:tcW w:type="dxa" w:w="2592"/>
            <w:shd w:val="clear" w:color="auto" w:fill="FFFFFF"/>
          </w:tcPr>
          <w:p>
            <w:r>
              <w:rPr>
                <w:rFonts w:ascii="Arial" w:hAnsi="Arial"/>
                <w:b/>
                <w:color w:val="2C74B5"/>
                <w:sz w:val="18"/>
              </w:rPr>
              <w:t>POTRAZ</w:t>
            </w:r>
          </w:p>
        </w:tc>
        <w:tc>
          <w:tcPr>
            <w:tcW w:type="dxa" w:w="6480"/>
            <w:shd w:val="clear" w:color="auto" w:fill="FFFFFF"/>
          </w:tcPr>
          <w:p>
            <w:r>
              <w:rPr>
                <w:rFonts w:ascii="Arial" w:hAnsi="Arial"/>
                <w:sz w:val="18"/>
              </w:rPr>
              <w:t>Postal and Telecommunications Regulatory Authority of Zimbabwe, which administers data protection registration and oversight.</w:t>
            </w:r>
          </w:p>
        </w:tc>
      </w:tr>
      <w:tr>
        <w:tc>
          <w:tcPr>
            <w:tcW w:type="dxa" w:w="2592"/>
            <w:shd w:val="clear" w:color="auto" w:fill="EBF3FA"/>
          </w:tcPr>
          <w:p>
            <w:r>
              <w:rPr>
                <w:rFonts w:ascii="Arial" w:hAnsi="Arial"/>
                <w:b/>
                <w:color w:val="2C74B5"/>
                <w:sz w:val="18"/>
              </w:rPr>
              <w:t>Data Regulator</w:t>
            </w:r>
          </w:p>
        </w:tc>
        <w:tc>
          <w:tcPr>
            <w:tcW w:type="dxa" w:w="6480"/>
            <w:shd w:val="clear" w:color="auto" w:fill="EBF3FA"/>
          </w:tcPr>
          <w:p>
            <w:r>
              <w:rPr>
                <w:rFonts w:ascii="Arial" w:hAnsi="Arial"/>
                <w:sz w:val="18"/>
              </w:rPr>
              <w:t>POTRAZ and / or the Cyber Security Centre of Zimbabwe, as applicable under the CDPA.</w:t>
            </w:r>
          </w:p>
        </w:tc>
      </w:tr>
      <w:tr>
        <w:tc>
          <w:tcPr>
            <w:tcW w:type="dxa" w:w="2592"/>
            <w:shd w:val="clear" w:color="auto" w:fill="FFFFFF"/>
          </w:tcPr>
          <w:p>
            <w:r>
              <w:rPr>
                <w:rFonts w:ascii="Arial" w:hAnsi="Arial"/>
                <w:b/>
                <w:color w:val="2C74B5"/>
                <w:sz w:val="18"/>
              </w:rPr>
              <w:t>Third Country</w:t>
            </w:r>
          </w:p>
        </w:tc>
        <w:tc>
          <w:tcPr>
            <w:tcW w:type="dxa" w:w="6480"/>
            <w:shd w:val="clear" w:color="auto" w:fill="FFFFFF"/>
          </w:tcPr>
          <w:p>
            <w:r>
              <w:rPr>
                <w:rFonts w:ascii="Arial" w:hAnsi="Arial"/>
                <w:sz w:val="18"/>
              </w:rPr>
              <w:t>Any country outside the Republic of Zimbabwe.</w:t>
            </w:r>
          </w:p>
        </w:tc>
      </w:tr>
      <w:tr>
        <w:tc>
          <w:tcPr>
            <w:tcW w:type="dxa" w:w="2592"/>
            <w:shd w:val="clear" w:color="auto" w:fill="EBF3FA"/>
          </w:tcPr>
          <w:p>
            <w:r>
              <w:rPr>
                <w:rFonts w:ascii="Arial" w:hAnsi="Arial"/>
                <w:b/>
                <w:color w:val="2C74B5"/>
                <w:sz w:val="18"/>
              </w:rPr>
              <w:t>Cross-Border Transfer</w:t>
            </w:r>
          </w:p>
        </w:tc>
        <w:tc>
          <w:tcPr>
            <w:tcW w:type="dxa" w:w="6480"/>
            <w:shd w:val="clear" w:color="auto" w:fill="EBF3FA"/>
          </w:tcPr>
          <w:p>
            <w:r>
              <w:rPr>
                <w:rFonts w:ascii="Arial" w:hAnsi="Arial"/>
                <w:sz w:val="18"/>
              </w:rPr>
              <w:t>The transfer of personal data from Zimbabwe to a recipient in a third country or an international organisation.</w:t>
            </w:r>
          </w:p>
        </w:tc>
      </w:tr>
    </w:tbl>
    <w:p/>
    <w:p>
      <w:r>
        <w:br w:type="page"/>
      </w:r>
    </w:p>
    <w:p>
      <w:pPr>
        <w:pStyle w:val="Heading1"/>
      </w:pPr>
      <w:r>
        <w:rPr>
          <w:rFonts w:ascii="Arial" w:hAnsi="Arial"/>
          <w:color w:val="2C74B5"/>
          <w:sz w:val="26"/>
        </w:rPr>
        <w:t>3.  Data Protection Principles</w:t>
      </w:r>
    </w:p>
    <w:p>
      <w:r>
        <w:rPr>
          <w:rFonts w:ascii="Arial" w:hAnsi="Arial"/>
          <w:b w:val="0"/>
          <w:sz w:val="20"/>
        </w:rPr>
        <w:t>OmniContact processes personal data in accordance with the eight data protection principles established under the CDPA. All staff and third-party processors must comply with these principles at all times.</w:t>
      </w:r>
    </w:p>
    <w:p/>
    <w:p>
      <w:pPr>
        <w:pStyle w:val="Heading2"/>
      </w:pPr>
      <w:r>
        <w:rPr>
          <w:rFonts w:ascii="Arial" w:hAnsi="Arial"/>
          <w:color w:val="4F81BB"/>
          <w:sz w:val="22"/>
        </w:rPr>
        <w:t>3.1  Lawfulness, Fairness, and Transparency</w:t>
      </w:r>
    </w:p>
    <w:p>
      <w:r>
        <w:rPr>
          <w:rFonts w:ascii="Arial" w:hAnsi="Arial"/>
          <w:b w:val="0"/>
          <w:sz w:val="20"/>
        </w:rPr>
        <w:t>Personal data must be processed lawfully, fairly, and in a transparent manner. Data subjects must be informed of how their data will be used at the point of collection through a clear and accessible privacy notice.</w:t>
      </w:r>
    </w:p>
    <w:p/>
    <w:p>
      <w:pPr>
        <w:pStyle w:val="Heading2"/>
      </w:pPr>
      <w:r>
        <w:rPr>
          <w:rFonts w:ascii="Arial" w:hAnsi="Arial"/>
          <w:color w:val="4F81BB"/>
          <w:sz w:val="22"/>
        </w:rPr>
        <w:t>3.2  Purpose Limitation</w:t>
      </w:r>
    </w:p>
    <w:p>
      <w:r>
        <w:rPr>
          <w:rFonts w:ascii="Arial" w:hAnsi="Arial"/>
          <w:b w:val="0"/>
          <w:sz w:val="20"/>
        </w:rPr>
        <w:t>Personal data must be collected for specified, explicit, and legitimate purposes and must not be further processed in a manner incompatible with those purposes. Any new processing must be assessed for compatibility with the original purpose.</w:t>
      </w:r>
    </w:p>
    <w:p/>
    <w:p>
      <w:pPr>
        <w:pStyle w:val="Heading2"/>
      </w:pPr>
      <w:r>
        <w:rPr>
          <w:rFonts w:ascii="Arial" w:hAnsi="Arial"/>
          <w:color w:val="4F81BB"/>
          <w:sz w:val="22"/>
        </w:rPr>
        <w:t>3.3  Data Minimisation</w:t>
      </w:r>
    </w:p>
    <w:p>
      <w:r>
        <w:rPr>
          <w:rFonts w:ascii="Arial" w:hAnsi="Arial"/>
          <w:b w:val="0"/>
          <w:sz w:val="20"/>
        </w:rPr>
        <w:t>Only personal data that is adequate, relevant, and limited to what is necessary in relation to the purposes for which it is processed may be collected. Collecting data 'just in case' is prohibited.</w:t>
      </w:r>
    </w:p>
    <w:p/>
    <w:p>
      <w:pPr>
        <w:pStyle w:val="Heading2"/>
      </w:pPr>
      <w:r>
        <w:rPr>
          <w:rFonts w:ascii="Arial" w:hAnsi="Arial"/>
          <w:color w:val="4F81BB"/>
          <w:sz w:val="22"/>
        </w:rPr>
        <w:t>3.4  Accuracy</w:t>
      </w:r>
    </w:p>
    <w:p>
      <w:r>
        <w:rPr>
          <w:rFonts w:ascii="Arial" w:hAnsi="Arial"/>
          <w:b w:val="0"/>
          <w:sz w:val="20"/>
        </w:rPr>
        <w:t>Personal data must be accurate and, where necessary, kept up to date. Every reasonable step must be taken to ensure that inaccurate personal data is erased or rectified without delay.</w:t>
      </w:r>
    </w:p>
    <w:p/>
    <w:p>
      <w:pPr>
        <w:pStyle w:val="Heading2"/>
      </w:pPr>
      <w:r>
        <w:rPr>
          <w:rFonts w:ascii="Arial" w:hAnsi="Arial"/>
          <w:color w:val="4F81BB"/>
          <w:sz w:val="22"/>
        </w:rPr>
        <w:t>3.5  Storage Limitation</w:t>
      </w:r>
    </w:p>
    <w:p>
      <w:r>
        <w:rPr>
          <w:rFonts w:ascii="Arial" w:hAnsi="Arial"/>
          <w:b w:val="0"/>
          <w:sz w:val="20"/>
        </w:rPr>
        <w:t>Personal data must be kept in a form which permits identification of data subjects for no longer than is necessary for the purposes for which the data is processed. Retention periods are defined in the Data Retention &amp; Disposal Policy (CDPA-OMNI-P002).</w:t>
      </w:r>
    </w:p>
    <w:p/>
    <w:p>
      <w:pPr>
        <w:pStyle w:val="Heading2"/>
      </w:pPr>
      <w:r>
        <w:rPr>
          <w:rFonts w:ascii="Arial" w:hAnsi="Arial"/>
          <w:color w:val="4F81BB"/>
          <w:sz w:val="22"/>
        </w:rPr>
        <w:t>3.6  Integrity and Confidentiality (Security)</w:t>
      </w:r>
    </w:p>
    <w:p>
      <w:r>
        <w:rPr>
          <w:rFonts w:ascii="Arial" w:hAnsi="Arial"/>
          <w:b w:val="0"/>
          <w:sz w:val="20"/>
        </w:rPr>
        <w:t>Personal data must be processed in a manner that ensures appropriate security, including protection against unauthorised or unlawful processing and against accidental loss, destruction, or damage, using appropriate technical and organisational measures.</w:t>
      </w:r>
    </w:p>
    <w:p/>
    <w:p>
      <w:pPr>
        <w:pStyle w:val="Heading2"/>
      </w:pPr>
      <w:r>
        <w:rPr>
          <w:rFonts w:ascii="Arial" w:hAnsi="Arial"/>
          <w:color w:val="4F81BB"/>
          <w:sz w:val="22"/>
        </w:rPr>
        <w:t>3.7  Accountability</w:t>
      </w:r>
    </w:p>
    <w:p>
      <w:r>
        <w:rPr>
          <w:rFonts w:ascii="Arial" w:hAnsi="Arial"/>
          <w:b w:val="0"/>
          <w:sz w:val="20"/>
        </w:rPr>
        <w:t>OmniContact, as data controller, is responsible for and must be able to demonstrate compliance with all data protection principles. This includes maintaining Records of Processing Activities (RoPA), conducting DPIAs, and appointing a Data Protection Officer.</w:t>
      </w:r>
    </w:p>
    <w:p/>
    <w:p>
      <w:pPr>
        <w:pStyle w:val="Heading2"/>
      </w:pPr>
      <w:r>
        <w:rPr>
          <w:rFonts w:ascii="Arial" w:hAnsi="Arial"/>
          <w:color w:val="4F81BB"/>
          <w:sz w:val="22"/>
        </w:rPr>
        <w:t>3.8  Data Subject Rights</w:t>
      </w:r>
    </w:p>
    <w:p>
      <w:r>
        <w:rPr>
          <w:rFonts w:ascii="Arial" w:hAnsi="Arial"/>
          <w:b w:val="0"/>
          <w:sz w:val="20"/>
        </w:rPr>
        <w:t>The rights of data subjects as defined in Section 6 of this Policy must be respected and honoured within the timeframes prescribed by the CDPA.</w:t>
      </w:r>
    </w:p>
    <w:p/>
    <w:p>
      <w:r>
        <w:br w:type="page"/>
      </w:r>
    </w:p>
    <w:p>
      <w:pPr>
        <w:pStyle w:val="Heading1"/>
      </w:pPr>
      <w:r>
        <w:rPr>
          <w:rFonts w:ascii="Arial" w:hAnsi="Arial"/>
          <w:color w:val="2C74B5"/>
          <w:sz w:val="26"/>
        </w:rPr>
        <w:t>4.  Roles and Responsibilities</w:t>
      </w:r>
    </w:p>
    <w:p>
      <w:pPr>
        <w:pStyle w:val="Heading2"/>
      </w:pPr>
      <w:r>
        <w:rPr>
          <w:rFonts w:ascii="Arial" w:hAnsi="Arial"/>
          <w:color w:val="4F81BB"/>
          <w:sz w:val="22"/>
        </w:rPr>
        <w:t>4.1  Board of Directors / Senior Management</w:t>
      </w:r>
    </w:p>
    <w:p>
      <w:pPr>
        <w:pStyle w:val="ListBullet"/>
        <w:ind w:left="432"/>
      </w:pPr>
      <w:r>
        <w:rPr>
          <w:rFonts w:ascii="Arial" w:hAnsi="Arial"/>
          <w:sz w:val="20"/>
        </w:rPr>
        <w:t>Provide strategic oversight and ensure that data protection is embedded in OmniContact's culture.</w:t>
      </w:r>
    </w:p>
    <w:p>
      <w:pPr>
        <w:pStyle w:val="ListBullet"/>
        <w:ind w:left="432"/>
      </w:pPr>
      <w:r>
        <w:rPr>
          <w:rFonts w:ascii="Arial" w:hAnsi="Arial"/>
          <w:sz w:val="20"/>
        </w:rPr>
        <w:t>Approve data protection policies and allocate resources for CDPA compliance.</w:t>
      </w:r>
    </w:p>
    <w:p>
      <w:pPr>
        <w:pStyle w:val="ListBullet"/>
        <w:ind w:left="432"/>
      </w:pPr>
      <w:r>
        <w:rPr>
          <w:rFonts w:ascii="Arial" w:hAnsi="Arial"/>
          <w:sz w:val="20"/>
        </w:rPr>
        <w:t>Ensure that the DPO has the authority, resources, and independence required to perform their duties.</w:t>
      </w:r>
    </w:p>
    <w:p/>
    <w:p>
      <w:pPr>
        <w:pStyle w:val="Heading2"/>
      </w:pPr>
      <w:r>
        <w:rPr>
          <w:rFonts w:ascii="Arial" w:hAnsi="Arial"/>
          <w:color w:val="4F81BB"/>
          <w:sz w:val="22"/>
        </w:rPr>
        <w:t>4.2  Data Protection Officer (DPO)</w:t>
      </w:r>
    </w:p>
    <w:p>
      <w:pPr>
        <w:pStyle w:val="ListBullet"/>
        <w:ind w:left="432"/>
      </w:pPr>
      <w:r>
        <w:rPr>
          <w:rFonts w:ascii="Arial" w:hAnsi="Arial"/>
          <w:sz w:val="20"/>
        </w:rPr>
        <w:t>Monitor compliance with the CDPA and this Policy.</w:t>
      </w:r>
    </w:p>
    <w:p>
      <w:pPr>
        <w:pStyle w:val="ListBullet"/>
        <w:ind w:left="432"/>
      </w:pPr>
      <w:r>
        <w:rPr>
          <w:rFonts w:ascii="Arial" w:hAnsi="Arial"/>
          <w:sz w:val="20"/>
        </w:rPr>
        <w:t>Advise on Data Protection Impact Assessments (DPIAs).</w:t>
      </w:r>
    </w:p>
    <w:p>
      <w:pPr>
        <w:pStyle w:val="ListBullet"/>
        <w:ind w:left="432"/>
      </w:pPr>
      <w:r>
        <w:rPr>
          <w:rFonts w:ascii="Arial" w:hAnsi="Arial"/>
          <w:sz w:val="20"/>
        </w:rPr>
        <w:t>Act as the primary point of contact with POTRAZ and data subjects.</w:t>
      </w:r>
    </w:p>
    <w:p>
      <w:pPr>
        <w:pStyle w:val="ListBullet"/>
        <w:ind w:left="432"/>
      </w:pPr>
      <w:r>
        <w:rPr>
          <w:rFonts w:ascii="Arial" w:hAnsi="Arial"/>
          <w:sz w:val="20"/>
        </w:rPr>
        <w:t>Maintain the Records of Processing Activities (RoPA).</w:t>
      </w:r>
    </w:p>
    <w:p>
      <w:pPr>
        <w:pStyle w:val="ListBullet"/>
        <w:ind w:left="432"/>
      </w:pPr>
      <w:r>
        <w:rPr>
          <w:rFonts w:ascii="Arial" w:hAnsi="Arial"/>
          <w:sz w:val="20"/>
        </w:rPr>
        <w:t>Oversee staff training and awareness on data protection.</w:t>
      </w:r>
    </w:p>
    <w:p>
      <w:pPr>
        <w:pStyle w:val="ListBullet"/>
        <w:ind w:left="432"/>
      </w:pPr>
      <w:r>
        <w:rPr>
          <w:rFonts w:ascii="Arial" w:hAnsi="Arial"/>
          <w:sz w:val="20"/>
        </w:rPr>
        <w:t>Investigate and manage data breach incidents.</w:t>
      </w:r>
    </w:p>
    <w:p>
      <w:pPr>
        <w:pStyle w:val="ListBullet"/>
        <w:ind w:left="432"/>
      </w:pPr>
      <w:r>
        <w:rPr>
          <w:rFonts w:ascii="Arial" w:hAnsi="Arial"/>
          <w:sz w:val="20"/>
        </w:rPr>
        <w:t>Review data processing agreements and third-party contracts.</w:t>
      </w:r>
    </w:p>
    <w:p/>
    <w:p>
      <w:pPr>
        <w:pStyle w:val="Heading2"/>
      </w:pPr>
      <w:r>
        <w:rPr>
          <w:rFonts w:ascii="Arial" w:hAnsi="Arial"/>
          <w:color w:val="4F81BB"/>
          <w:sz w:val="22"/>
        </w:rPr>
        <w:t>4.3  Departmental Data Owners</w:t>
      </w:r>
    </w:p>
    <w:p>
      <w:pPr>
        <w:pStyle w:val="ListBullet"/>
        <w:ind w:left="432"/>
      </w:pPr>
      <w:r>
        <w:rPr>
          <w:rFonts w:ascii="Arial" w:hAnsi="Arial"/>
          <w:sz w:val="20"/>
        </w:rPr>
        <w:t>Ensure compliance with this Policy within their respective departments.</w:t>
      </w:r>
    </w:p>
    <w:p>
      <w:pPr>
        <w:pStyle w:val="ListBullet"/>
        <w:ind w:left="432"/>
      </w:pPr>
      <w:r>
        <w:rPr>
          <w:rFonts w:ascii="Arial" w:hAnsi="Arial"/>
          <w:sz w:val="20"/>
        </w:rPr>
        <w:t>Identify and classify personal data processed within their area of responsibility.</w:t>
      </w:r>
    </w:p>
    <w:p>
      <w:pPr>
        <w:pStyle w:val="ListBullet"/>
        <w:ind w:left="432"/>
      </w:pPr>
      <w:r>
        <w:rPr>
          <w:rFonts w:ascii="Arial" w:hAnsi="Arial"/>
          <w:sz w:val="20"/>
        </w:rPr>
        <w:t>Report data breaches or suspected breaches to the DPO immediately.</w:t>
      </w:r>
    </w:p>
    <w:p>
      <w:pPr>
        <w:pStyle w:val="ListBullet"/>
        <w:ind w:left="432"/>
      </w:pPr>
      <w:r>
        <w:rPr>
          <w:rFonts w:ascii="Arial" w:hAnsi="Arial"/>
          <w:sz w:val="20"/>
        </w:rPr>
        <w:t>Ensure staff under their management complete required data protection training.</w:t>
      </w:r>
    </w:p>
    <w:p/>
    <w:p>
      <w:pPr>
        <w:pStyle w:val="Heading2"/>
      </w:pPr>
      <w:r>
        <w:rPr>
          <w:rFonts w:ascii="Arial" w:hAnsi="Arial"/>
          <w:color w:val="4F81BB"/>
          <w:sz w:val="22"/>
        </w:rPr>
        <w:t>4.4  All Staff</w:t>
      </w:r>
    </w:p>
    <w:p>
      <w:pPr>
        <w:pStyle w:val="ListBullet"/>
        <w:ind w:left="432"/>
      </w:pPr>
      <w:r>
        <w:rPr>
          <w:rFonts w:ascii="Arial" w:hAnsi="Arial"/>
          <w:sz w:val="20"/>
        </w:rPr>
        <w:t>Process personal data only as required for legitimate business purposes.</w:t>
      </w:r>
    </w:p>
    <w:p>
      <w:pPr>
        <w:pStyle w:val="ListBullet"/>
        <w:ind w:left="432"/>
      </w:pPr>
      <w:r>
        <w:rPr>
          <w:rFonts w:ascii="Arial" w:hAnsi="Arial"/>
          <w:sz w:val="20"/>
        </w:rPr>
        <w:t>Keep personal data secure and confidential at all times.</w:t>
      </w:r>
    </w:p>
    <w:p>
      <w:pPr>
        <w:pStyle w:val="ListBullet"/>
        <w:ind w:left="432"/>
      </w:pPr>
      <w:r>
        <w:rPr>
          <w:rFonts w:ascii="Arial" w:hAnsi="Arial"/>
          <w:sz w:val="20"/>
        </w:rPr>
        <w:t>Report data breaches or any suspected breach of this Policy to their line manager and the DPO without delay.</w:t>
      </w:r>
    </w:p>
    <w:p>
      <w:pPr>
        <w:pStyle w:val="ListBullet"/>
        <w:ind w:left="432"/>
      </w:pPr>
      <w:r>
        <w:rPr>
          <w:rFonts w:ascii="Arial" w:hAnsi="Arial"/>
          <w:sz w:val="20"/>
        </w:rPr>
        <w:t>Complete mandatory CDPA awareness training as required.</w:t>
      </w:r>
    </w:p>
    <w:p>
      <w:pPr>
        <w:pStyle w:val="ListBullet"/>
        <w:ind w:left="432"/>
      </w:pPr>
      <w:r>
        <w:rPr>
          <w:rFonts w:ascii="Arial" w:hAnsi="Arial"/>
          <w:sz w:val="20"/>
        </w:rPr>
        <w:t>Never transfer personal data outside Zimbabwe without prior written approval from the DPO.</w:t>
      </w:r>
    </w:p>
    <w:p/>
    <w:p>
      <w:pPr>
        <w:pStyle w:val="Heading2"/>
      </w:pPr>
      <w:r>
        <w:rPr>
          <w:rFonts w:ascii="Arial" w:hAnsi="Arial"/>
          <w:color w:val="4F81BB"/>
          <w:sz w:val="22"/>
        </w:rPr>
        <w:t>4.5  IT / IS Support Team</w:t>
      </w:r>
    </w:p>
    <w:p>
      <w:pPr>
        <w:pStyle w:val="ListBullet"/>
        <w:ind w:left="432"/>
      </w:pPr>
      <w:r>
        <w:rPr>
          <w:rFonts w:ascii="Arial" w:hAnsi="Arial"/>
          <w:sz w:val="20"/>
        </w:rPr>
        <w:t>Implement and maintain technical security controls protecting personal data.</w:t>
      </w:r>
    </w:p>
    <w:p>
      <w:pPr>
        <w:pStyle w:val="ListBullet"/>
        <w:ind w:left="432"/>
      </w:pPr>
      <w:r>
        <w:rPr>
          <w:rFonts w:ascii="Arial" w:hAnsi="Arial"/>
          <w:sz w:val="20"/>
        </w:rPr>
        <w:t>Ensure systems processing personal data meet the security requirements of this Policy.</w:t>
      </w:r>
    </w:p>
    <w:p>
      <w:pPr>
        <w:pStyle w:val="ListBullet"/>
        <w:ind w:left="432"/>
      </w:pPr>
      <w:r>
        <w:rPr>
          <w:rFonts w:ascii="Arial" w:hAnsi="Arial"/>
          <w:sz w:val="20"/>
        </w:rPr>
        <w:t>Support the DPO in conducting technical DPIAs for new systems.</w:t>
      </w:r>
    </w:p>
    <w:p>
      <w:pPr>
        <w:pStyle w:val="ListBullet"/>
        <w:ind w:left="432"/>
      </w:pPr>
      <w:r>
        <w:rPr>
          <w:rFonts w:ascii="Arial" w:hAnsi="Arial"/>
          <w:sz w:val="20"/>
        </w:rPr>
        <w:t>Maintain access controls, encryption, and audit logs for all systems containing personal data.</w:t>
      </w:r>
    </w:p>
    <w:p/>
    <w:p>
      <w:r>
        <w:br w:type="page"/>
      </w:r>
    </w:p>
    <w:p>
      <w:pPr>
        <w:pStyle w:val="Heading1"/>
      </w:pPr>
      <w:r>
        <w:rPr>
          <w:rFonts w:ascii="Arial" w:hAnsi="Arial"/>
          <w:color w:val="2C74B5"/>
          <w:sz w:val="26"/>
        </w:rPr>
        <w:t>5.  Legal Basis for Processing</w:t>
      </w:r>
    </w:p>
    <w:p>
      <w:r>
        <w:rPr>
          <w:rFonts w:ascii="Arial" w:hAnsi="Arial"/>
          <w:b w:val="0"/>
          <w:sz w:val="20"/>
        </w:rPr>
        <w:t>OmniContact must identify and document a valid legal basis for every processing activity prior to commencement of processing. The lawful bases recognised under the CDPA are:</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C74B5"/>
          </w:tcPr>
          <w:p>
            <w:r>
              <w:rPr>
                <w:rFonts w:ascii="Arial" w:hAnsi="Arial"/>
                <w:b/>
                <w:color w:val="FFFFFF"/>
                <w:sz w:val="18"/>
              </w:rPr>
              <w:t>Legal Basis</w:t>
            </w:r>
          </w:p>
        </w:tc>
        <w:tc>
          <w:tcPr>
            <w:tcW w:type="dxa" w:w="3024"/>
            <w:shd w:val="clear" w:color="auto" w:fill="2C74B5"/>
          </w:tcPr>
          <w:p>
            <w:r>
              <w:rPr>
                <w:rFonts w:ascii="Arial" w:hAnsi="Arial"/>
                <w:b/>
                <w:color w:val="FFFFFF"/>
                <w:sz w:val="18"/>
              </w:rPr>
              <w:t>Description</w:t>
            </w:r>
          </w:p>
        </w:tc>
        <w:tc>
          <w:tcPr>
            <w:tcW w:type="dxa" w:w="3024"/>
            <w:shd w:val="clear" w:color="auto" w:fill="2C74B5"/>
          </w:tcPr>
          <w:p>
            <w:r>
              <w:rPr>
                <w:rFonts w:ascii="Arial" w:hAnsi="Arial"/>
                <w:b/>
                <w:color w:val="FFFFFF"/>
                <w:sz w:val="18"/>
              </w:rPr>
              <w:t>Examples at OmniContact</w:t>
            </w:r>
          </w:p>
        </w:tc>
      </w:tr>
      <w:tr>
        <w:tc>
          <w:tcPr>
            <w:tcW w:type="dxa" w:w="2016"/>
            <w:shd w:val="clear" w:color="auto" w:fill="FFFFFF"/>
          </w:tcPr>
          <w:p>
            <w:r>
              <w:rPr>
                <w:rFonts w:ascii="Arial" w:hAnsi="Arial"/>
                <w:b/>
                <w:sz w:val="18"/>
              </w:rPr>
              <w:t>Consent</w:t>
            </w:r>
          </w:p>
        </w:tc>
        <w:tc>
          <w:tcPr>
            <w:tcW w:type="dxa" w:w="4032"/>
            <w:shd w:val="clear" w:color="auto" w:fill="FFFFFF"/>
          </w:tcPr>
          <w:p>
            <w:r>
              <w:rPr>
                <w:rFonts w:ascii="Arial" w:hAnsi="Arial"/>
                <w:sz w:val="18"/>
              </w:rPr>
              <w:t>The data subject has given clear, specific, informed, and unambiguous consent.</w:t>
            </w:r>
          </w:p>
        </w:tc>
        <w:tc>
          <w:tcPr>
            <w:tcW w:type="dxa" w:w="3168"/>
            <w:shd w:val="clear" w:color="auto" w:fill="FFFFFF"/>
          </w:tcPr>
          <w:p>
            <w:r>
              <w:rPr>
                <w:rFonts w:ascii="Arial" w:hAnsi="Arial"/>
                <w:sz w:val="18"/>
              </w:rPr>
              <w:t>Marketing communications; optional feedback surveys</w:t>
            </w:r>
          </w:p>
        </w:tc>
      </w:tr>
      <w:tr>
        <w:tc>
          <w:tcPr>
            <w:tcW w:type="dxa" w:w="2016"/>
            <w:shd w:val="clear" w:color="auto" w:fill="EBF3FA"/>
          </w:tcPr>
          <w:p>
            <w:r>
              <w:rPr>
                <w:rFonts w:ascii="Arial" w:hAnsi="Arial"/>
                <w:b/>
                <w:sz w:val="18"/>
              </w:rPr>
              <w:t>Contract</w:t>
            </w:r>
          </w:p>
        </w:tc>
        <w:tc>
          <w:tcPr>
            <w:tcW w:type="dxa" w:w="4032"/>
            <w:shd w:val="clear" w:color="auto" w:fill="EBF3FA"/>
          </w:tcPr>
          <w:p>
            <w:r>
              <w:rPr>
                <w:rFonts w:ascii="Arial" w:hAnsi="Arial"/>
                <w:sz w:val="18"/>
              </w:rPr>
              <w:t>Processing is necessary for the performance of a contract with the data subject.</w:t>
            </w:r>
          </w:p>
        </w:tc>
        <w:tc>
          <w:tcPr>
            <w:tcW w:type="dxa" w:w="3168"/>
            <w:shd w:val="clear" w:color="auto" w:fill="EBF3FA"/>
          </w:tcPr>
          <w:p>
            <w:r>
              <w:rPr>
                <w:rFonts w:ascii="Arial" w:hAnsi="Arial"/>
                <w:sz w:val="18"/>
              </w:rPr>
              <w:t>Employee payroll; service delivery to clients</w:t>
            </w:r>
          </w:p>
        </w:tc>
      </w:tr>
      <w:tr>
        <w:tc>
          <w:tcPr>
            <w:tcW w:type="dxa" w:w="2016"/>
            <w:shd w:val="clear" w:color="auto" w:fill="FFFFFF"/>
          </w:tcPr>
          <w:p>
            <w:r>
              <w:rPr>
                <w:rFonts w:ascii="Arial" w:hAnsi="Arial"/>
                <w:b/>
                <w:sz w:val="18"/>
              </w:rPr>
              <w:t>Legal Obligation</w:t>
            </w:r>
          </w:p>
        </w:tc>
        <w:tc>
          <w:tcPr>
            <w:tcW w:type="dxa" w:w="4032"/>
            <w:shd w:val="clear" w:color="auto" w:fill="FFFFFF"/>
          </w:tcPr>
          <w:p>
            <w:r>
              <w:rPr>
                <w:rFonts w:ascii="Arial" w:hAnsi="Arial"/>
                <w:sz w:val="18"/>
              </w:rPr>
              <w:t>Processing is necessary to comply with a legal obligation.</w:t>
            </w:r>
          </w:p>
        </w:tc>
        <w:tc>
          <w:tcPr>
            <w:tcW w:type="dxa" w:w="3168"/>
            <w:shd w:val="clear" w:color="auto" w:fill="FFFFFF"/>
          </w:tcPr>
          <w:p>
            <w:r>
              <w:rPr>
                <w:rFonts w:ascii="Arial" w:hAnsi="Arial"/>
                <w:sz w:val="18"/>
              </w:rPr>
              <w:t>ZIMRA tax reporting; Labour Act compliance</w:t>
            </w:r>
          </w:p>
        </w:tc>
      </w:tr>
      <w:tr>
        <w:tc>
          <w:tcPr>
            <w:tcW w:type="dxa" w:w="2016"/>
            <w:shd w:val="clear" w:color="auto" w:fill="EBF3FA"/>
          </w:tcPr>
          <w:p>
            <w:r>
              <w:rPr>
                <w:rFonts w:ascii="Arial" w:hAnsi="Arial"/>
                <w:b/>
                <w:sz w:val="18"/>
              </w:rPr>
              <w:t>Vital Interests</w:t>
            </w:r>
          </w:p>
        </w:tc>
        <w:tc>
          <w:tcPr>
            <w:tcW w:type="dxa" w:w="4032"/>
            <w:shd w:val="clear" w:color="auto" w:fill="EBF3FA"/>
          </w:tcPr>
          <w:p>
            <w:r>
              <w:rPr>
                <w:rFonts w:ascii="Arial" w:hAnsi="Arial"/>
                <w:sz w:val="18"/>
              </w:rPr>
              <w:t>Processing is necessary to protect the vital interests of the data subject.</w:t>
            </w:r>
          </w:p>
        </w:tc>
        <w:tc>
          <w:tcPr>
            <w:tcW w:type="dxa" w:w="3168"/>
            <w:shd w:val="clear" w:color="auto" w:fill="EBF3FA"/>
          </w:tcPr>
          <w:p>
            <w:r>
              <w:rPr>
                <w:rFonts w:ascii="Arial" w:hAnsi="Arial"/>
                <w:sz w:val="18"/>
              </w:rPr>
              <w:t>Medical emergency situations</w:t>
            </w:r>
          </w:p>
        </w:tc>
      </w:tr>
      <w:tr>
        <w:tc>
          <w:tcPr>
            <w:tcW w:type="dxa" w:w="2016"/>
            <w:shd w:val="clear" w:color="auto" w:fill="FFFFFF"/>
          </w:tcPr>
          <w:p>
            <w:r>
              <w:rPr>
                <w:rFonts w:ascii="Arial" w:hAnsi="Arial"/>
                <w:b/>
                <w:sz w:val="18"/>
              </w:rPr>
              <w:t>Legitimate Interests</w:t>
            </w:r>
          </w:p>
        </w:tc>
        <w:tc>
          <w:tcPr>
            <w:tcW w:type="dxa" w:w="4032"/>
            <w:shd w:val="clear" w:color="auto" w:fill="FFFFFF"/>
          </w:tcPr>
          <w:p>
            <w:r>
              <w:rPr>
                <w:rFonts w:ascii="Arial" w:hAnsi="Arial"/>
                <w:sz w:val="18"/>
              </w:rPr>
              <w:t>Processing is necessary for the legitimate interests of OmniContact or a third party, unless overridden by the data subject's rights.</w:t>
            </w:r>
          </w:p>
        </w:tc>
        <w:tc>
          <w:tcPr>
            <w:tcW w:type="dxa" w:w="3168"/>
            <w:shd w:val="clear" w:color="auto" w:fill="FFFFFF"/>
          </w:tcPr>
          <w:p>
            <w:r>
              <w:rPr>
                <w:rFonts w:ascii="Arial" w:hAnsi="Arial"/>
                <w:sz w:val="18"/>
              </w:rPr>
              <w:t>Fraud prevention; network security monitoring; analytics</w:t>
            </w:r>
          </w:p>
        </w:tc>
      </w:tr>
      <w:tr>
        <w:tc>
          <w:tcPr>
            <w:tcW w:type="dxa" w:w="2016"/>
            <w:shd w:val="clear" w:color="auto" w:fill="EBF3FA"/>
          </w:tcPr>
          <w:p>
            <w:r>
              <w:rPr>
                <w:rFonts w:ascii="Arial" w:hAnsi="Arial"/>
                <w:b/>
                <w:sz w:val="18"/>
              </w:rPr>
              <w:t>Public Task</w:t>
            </w:r>
          </w:p>
        </w:tc>
        <w:tc>
          <w:tcPr>
            <w:tcW w:type="dxa" w:w="4032"/>
            <w:shd w:val="clear" w:color="auto" w:fill="EBF3FA"/>
          </w:tcPr>
          <w:p>
            <w:r>
              <w:rPr>
                <w:rFonts w:ascii="Arial" w:hAnsi="Arial"/>
                <w:sz w:val="18"/>
              </w:rPr>
              <w:t>Processing is necessary for the performance of a task in the public interest.</w:t>
            </w:r>
          </w:p>
        </w:tc>
        <w:tc>
          <w:tcPr>
            <w:tcW w:type="dxa" w:w="3168"/>
            <w:shd w:val="clear" w:color="auto" w:fill="EBF3FA"/>
          </w:tcPr>
          <w:p>
            <w:r>
              <w:rPr>
                <w:rFonts w:ascii="Arial" w:hAnsi="Arial"/>
                <w:sz w:val="18"/>
              </w:rPr>
              <w:t>Not typically applicable to OmniContact's operations</w:t>
            </w:r>
          </w:p>
        </w:tc>
      </w:tr>
    </w:tbl>
    <w:p/>
    <w:p>
      <w:r>
        <w:rPr>
          <w:rFonts w:ascii="Arial" w:hAnsi="Arial"/>
          <w:b w:val="0"/>
          <w:sz w:val="20"/>
        </w:rPr>
        <w:t>Where consent is relied upon as the legal basis, OmniContact must ensure that: consent is obtained before processing commences; it is recorded and evidenced; it is as easy to withdraw as to give; and consent is not bundled with terms and conditions. Refer to the Consent Management Policy (CDPA-OMNI-P007) for full requirements.</w:t>
      </w:r>
    </w:p>
    <w:p>
      <w:r>
        <w:br w:type="page"/>
      </w:r>
    </w:p>
    <w:p>
      <w:pPr>
        <w:pStyle w:val="Heading1"/>
      </w:pPr>
      <w:r>
        <w:rPr>
          <w:rFonts w:ascii="Arial" w:hAnsi="Arial"/>
          <w:color w:val="2C74B5"/>
          <w:sz w:val="26"/>
        </w:rPr>
        <w:t>6.  Rights of Data Subjects</w:t>
      </w:r>
    </w:p>
    <w:p>
      <w:r>
        <w:rPr>
          <w:rFonts w:ascii="Arial" w:hAnsi="Arial"/>
          <w:b w:val="0"/>
          <w:sz w:val="20"/>
        </w:rPr>
        <w:t>OmniContact acknowledges and upholds the rights of data subjects as provided under the CDPA. All requests must be directed to the DPO and handled in accordance with the Data Subject Rights Procedure (CDPA-OMNI-P005). Responses must be provided free of charge within 30 calendar days of receipt, extendable by a further 30 days where the request is complex, with notification to the data subject of the extension.</w:t>
      </w:r>
    </w:p>
    <w:p/>
    <w:p>
      <w:pPr>
        <w:pStyle w:val="Heading2"/>
      </w:pPr>
      <w:r>
        <w:rPr>
          <w:rFonts w:ascii="Arial" w:hAnsi="Arial"/>
          <w:color w:val="4F81BB"/>
          <w:sz w:val="22"/>
        </w:rPr>
        <w:t>6.1  Right to be Informed</w:t>
      </w:r>
    </w:p>
    <w:p>
      <w:r>
        <w:rPr>
          <w:rFonts w:ascii="Arial" w:hAnsi="Arial"/>
          <w:b w:val="0"/>
          <w:sz w:val="20"/>
        </w:rPr>
        <w:t>Data subjects have the right to be informed about the collection and use of their personal data through clear privacy notices at the point of data collection.</w:t>
      </w:r>
    </w:p>
    <w:p/>
    <w:p>
      <w:pPr>
        <w:pStyle w:val="Heading2"/>
      </w:pPr>
      <w:r>
        <w:rPr>
          <w:rFonts w:ascii="Arial" w:hAnsi="Arial"/>
          <w:color w:val="4F81BB"/>
          <w:sz w:val="22"/>
        </w:rPr>
        <w:t>6.2  Right of Access (Subject Access Request)</w:t>
      </w:r>
    </w:p>
    <w:p>
      <w:r>
        <w:rPr>
          <w:rFonts w:ascii="Arial" w:hAnsi="Arial"/>
          <w:b w:val="0"/>
          <w:sz w:val="20"/>
        </w:rPr>
        <w:t>Data subjects may request access to their personal data and supplementary information. OmniContact must confirm whether their data is being processed and provide a copy of it.</w:t>
      </w:r>
    </w:p>
    <w:p/>
    <w:p>
      <w:pPr>
        <w:pStyle w:val="Heading2"/>
      </w:pPr>
      <w:r>
        <w:rPr>
          <w:rFonts w:ascii="Arial" w:hAnsi="Arial"/>
          <w:color w:val="4F81BB"/>
          <w:sz w:val="22"/>
        </w:rPr>
        <w:t>6.3  Right to Rectification</w:t>
      </w:r>
    </w:p>
    <w:p>
      <w:r>
        <w:rPr>
          <w:rFonts w:ascii="Arial" w:hAnsi="Arial"/>
          <w:b w:val="0"/>
          <w:sz w:val="20"/>
        </w:rPr>
        <w:t>Data subjects may request correction of inaccurate or incomplete personal data held by OmniContact.</w:t>
      </w:r>
    </w:p>
    <w:p/>
    <w:p>
      <w:pPr>
        <w:pStyle w:val="Heading2"/>
      </w:pPr>
      <w:r>
        <w:rPr>
          <w:rFonts w:ascii="Arial" w:hAnsi="Arial"/>
          <w:color w:val="4F81BB"/>
          <w:sz w:val="22"/>
        </w:rPr>
        <w:t>6.4  Right to Erasure ('Right to be Forgotten')</w:t>
      </w:r>
    </w:p>
    <w:p>
      <w:r>
        <w:rPr>
          <w:rFonts w:ascii="Arial" w:hAnsi="Arial"/>
          <w:b w:val="0"/>
          <w:sz w:val="20"/>
        </w:rPr>
        <w:t>Data subjects may request deletion of their personal data where there is no compelling reason for its continued processing. This right is not absolute and is subject to legal retention obligations.</w:t>
      </w:r>
    </w:p>
    <w:p/>
    <w:p>
      <w:pPr>
        <w:pStyle w:val="Heading2"/>
      </w:pPr>
      <w:r>
        <w:rPr>
          <w:rFonts w:ascii="Arial" w:hAnsi="Arial"/>
          <w:color w:val="4F81BB"/>
          <w:sz w:val="22"/>
        </w:rPr>
        <w:t>6.5  Right to Restrict Processing</w:t>
      </w:r>
    </w:p>
    <w:p>
      <w:r>
        <w:rPr>
          <w:rFonts w:ascii="Arial" w:hAnsi="Arial"/>
          <w:b w:val="0"/>
          <w:sz w:val="20"/>
        </w:rPr>
        <w:t>Data subjects may request that OmniContact restricts processing of their data in specific circumstances, including where accuracy is contested.</w:t>
      </w:r>
    </w:p>
    <w:p/>
    <w:p>
      <w:pPr>
        <w:pStyle w:val="Heading2"/>
      </w:pPr>
      <w:r>
        <w:rPr>
          <w:rFonts w:ascii="Arial" w:hAnsi="Arial"/>
          <w:color w:val="4F81BB"/>
          <w:sz w:val="22"/>
        </w:rPr>
        <w:t>6.6  Right to Data Portability</w:t>
      </w:r>
    </w:p>
    <w:p>
      <w:r>
        <w:rPr>
          <w:rFonts w:ascii="Arial" w:hAnsi="Arial"/>
          <w:b w:val="0"/>
          <w:sz w:val="20"/>
        </w:rPr>
        <w:t>Data subjects may request their personal data in a structured, commonly used, machine-readable format and may request its transfer to another controller.</w:t>
      </w:r>
    </w:p>
    <w:p/>
    <w:p>
      <w:pPr>
        <w:pStyle w:val="Heading2"/>
      </w:pPr>
      <w:r>
        <w:rPr>
          <w:rFonts w:ascii="Arial" w:hAnsi="Arial"/>
          <w:color w:val="4F81BB"/>
          <w:sz w:val="22"/>
        </w:rPr>
        <w:t>6.7  Right to Object</w:t>
      </w:r>
    </w:p>
    <w:p>
      <w:r>
        <w:rPr>
          <w:rFonts w:ascii="Arial" w:hAnsi="Arial"/>
          <w:b w:val="0"/>
          <w:sz w:val="20"/>
        </w:rPr>
        <w:t>Data subjects may object to processing based on legitimate interests or for direct marketing purposes. Upon receipt of an objection to marketing, OmniContact must cease processing immediately.</w:t>
      </w:r>
    </w:p>
    <w:p/>
    <w:p>
      <w:pPr>
        <w:pStyle w:val="Heading2"/>
      </w:pPr>
      <w:r>
        <w:rPr>
          <w:rFonts w:ascii="Arial" w:hAnsi="Arial"/>
          <w:color w:val="4F81BB"/>
          <w:sz w:val="22"/>
        </w:rPr>
        <w:t>6.8  Rights Related to Automated Decision-Making</w:t>
      </w:r>
    </w:p>
    <w:p>
      <w:r>
        <w:rPr>
          <w:rFonts w:ascii="Arial" w:hAnsi="Arial"/>
          <w:b w:val="0"/>
          <w:sz w:val="20"/>
        </w:rPr>
        <w:t>Data subjects have the right not to be subject to a decision based solely on automated processing, including profiling, that produces legal or similarly significant effects. Human review must be available.</w:t>
      </w:r>
    </w:p>
    <w:p/>
    <w:p>
      <w:r>
        <w:br w:type="page"/>
      </w:r>
    </w:p>
    <w:p>
      <w:pPr>
        <w:pStyle w:val="Heading1"/>
      </w:pPr>
      <w:r>
        <w:rPr>
          <w:rFonts w:ascii="Arial" w:hAnsi="Arial"/>
          <w:color w:val="2C74B5"/>
          <w:sz w:val="26"/>
        </w:rPr>
        <w:t>7.  Special Category (Sensitive) Personal Data</w:t>
      </w:r>
    </w:p>
    <w:p>
      <w:r>
        <w:rPr>
          <w:rFonts w:ascii="Arial" w:hAnsi="Arial"/>
          <w:b w:val="0"/>
          <w:sz w:val="20"/>
        </w:rPr>
        <w:t>Special category data requires a higher level of protection. OmniContact processes the following categories of sensitive data:</w:t>
      </w:r>
    </w:p>
    <w:p>
      <w:pPr>
        <w:pStyle w:val="ListBullet"/>
        <w:ind w:left="432"/>
      </w:pPr>
      <w:r>
        <w:rPr>
          <w:rFonts w:ascii="Arial" w:hAnsi="Arial"/>
          <w:sz w:val="20"/>
        </w:rPr>
        <w:t>Health data (for employee benefits, medical aid, and occupational health purposes)</w:t>
      </w:r>
    </w:p>
    <w:p>
      <w:pPr>
        <w:pStyle w:val="ListBullet"/>
        <w:ind w:left="432"/>
      </w:pPr>
      <w:r>
        <w:rPr>
          <w:rFonts w:ascii="Arial" w:hAnsi="Arial"/>
          <w:sz w:val="20"/>
        </w:rPr>
        <w:t>Biometric data (where used for access control or time and attendance)</w:t>
      </w:r>
    </w:p>
    <w:p>
      <w:pPr>
        <w:pStyle w:val="ListBullet"/>
        <w:ind w:left="432"/>
      </w:pPr>
      <w:r>
        <w:rPr>
          <w:rFonts w:ascii="Arial" w:hAnsi="Arial"/>
          <w:sz w:val="20"/>
        </w:rPr>
        <w:t>Criminal records data (for pre-employment screening purposes)</w:t>
      </w:r>
    </w:p>
    <w:p/>
    <w:p>
      <w:r>
        <w:rPr>
          <w:rFonts w:ascii="Arial" w:hAnsi="Arial"/>
          <w:b w:val="0"/>
          <w:sz w:val="20"/>
        </w:rPr>
        <w:t>In addition to a standard legal basis, processing of sensitive personal data requires an additional condition to be met, such as:</w:t>
      </w:r>
    </w:p>
    <w:p>
      <w:pPr>
        <w:pStyle w:val="ListBullet"/>
        <w:ind w:left="432"/>
      </w:pPr>
      <w:r>
        <w:rPr>
          <w:rFonts w:ascii="Arial" w:hAnsi="Arial"/>
          <w:sz w:val="20"/>
        </w:rPr>
        <w:t>Explicit consent of the data subject</w:t>
      </w:r>
    </w:p>
    <w:p>
      <w:pPr>
        <w:pStyle w:val="ListBullet"/>
        <w:ind w:left="432"/>
      </w:pPr>
      <w:r>
        <w:rPr>
          <w:rFonts w:ascii="Arial" w:hAnsi="Arial"/>
          <w:sz w:val="20"/>
        </w:rPr>
        <w:t>Processing necessary for employment, social security, or social protection law</w:t>
      </w:r>
    </w:p>
    <w:p>
      <w:pPr>
        <w:pStyle w:val="ListBullet"/>
        <w:ind w:left="432"/>
      </w:pPr>
      <w:r>
        <w:rPr>
          <w:rFonts w:ascii="Arial" w:hAnsi="Arial"/>
          <w:sz w:val="20"/>
        </w:rPr>
        <w:t>Processing necessary for the vital interests of the data subject</w:t>
      </w:r>
    </w:p>
    <w:p>
      <w:pPr>
        <w:pStyle w:val="ListBullet"/>
        <w:ind w:left="432"/>
      </w:pPr>
      <w:r>
        <w:rPr>
          <w:rFonts w:ascii="Arial" w:hAnsi="Arial"/>
          <w:sz w:val="20"/>
        </w:rPr>
        <w:t>Processing necessary for the establishment, exercise, or defence of legal claims</w:t>
      </w:r>
    </w:p>
    <w:p/>
    <w:p>
      <w:r>
        <w:rPr>
          <w:rFonts w:ascii="Arial" w:hAnsi="Arial"/>
          <w:b w:val="0"/>
          <w:sz w:val="20"/>
        </w:rPr>
        <w:t>All processing of special category data must be documented in the RoPA and approved by the DPO in advance. Access to sensitive personal data is restricted on a strict need-to-know basis.</w:t>
      </w:r>
    </w:p>
    <w:p>
      <w:r>
        <w:br w:type="page"/>
      </w:r>
    </w:p>
    <w:p>
      <w:pPr>
        <w:pStyle w:val="Heading1"/>
      </w:pPr>
      <w:r>
        <w:rPr>
          <w:rFonts w:ascii="Arial" w:hAnsi="Arial"/>
          <w:color w:val="2C74B5"/>
          <w:sz w:val="26"/>
        </w:rPr>
        <w:t>8.  Cross-Border Data Transfers</w:t>
      </w:r>
    </w:p>
    <w:p>
      <w:r>
        <w:rPr>
          <w:rFonts w:ascii="Arial" w:hAnsi="Arial"/>
          <w:b w:val="0"/>
          <w:sz w:val="20"/>
        </w:rPr>
        <w:t>OmniContact acknowledges that certain operational requirements necessitate the transfer of personal data to recipients outside Zimbabwe. The CDPA restricts such transfers to ensure that the level of protection afforded to data subjects is not undermined.</w:t>
      </w:r>
    </w:p>
    <w:p/>
    <w:p>
      <w:r>
        <w:rPr>
          <w:rFonts w:ascii="Arial" w:hAnsi="Arial"/>
          <w:b w:val="0"/>
          <w:sz w:val="20"/>
        </w:rPr>
        <w:t>A cross-border transfer may only proceed where one of the following safeguards is in place:</w:t>
      </w:r>
    </w:p>
    <w:p>
      <w:pPr>
        <w:pStyle w:val="ListBullet"/>
        <w:ind w:left="432"/>
      </w:pPr>
      <w:r>
        <w:rPr>
          <w:rFonts w:ascii="Arial" w:hAnsi="Arial"/>
          <w:sz w:val="20"/>
        </w:rPr>
        <w:t>The destination country has been assessed as providing an adequate level of data protection (adequacy decision).</w:t>
      </w:r>
    </w:p>
    <w:p>
      <w:pPr>
        <w:pStyle w:val="ListBullet"/>
        <w:ind w:left="432"/>
      </w:pPr>
      <w:r>
        <w:rPr>
          <w:rFonts w:ascii="Arial" w:hAnsi="Arial"/>
          <w:sz w:val="20"/>
        </w:rPr>
        <w:t>Appropriate safeguards are in place, such as Standard Contractual Clauses (SCCs), Binding Corporate Rules (BCRs), or approved codes of conduct.</w:t>
      </w:r>
    </w:p>
    <w:p>
      <w:pPr>
        <w:pStyle w:val="ListBullet"/>
        <w:ind w:left="432"/>
      </w:pPr>
      <w:r>
        <w:rPr>
          <w:rFonts w:ascii="Arial" w:hAnsi="Arial"/>
          <w:sz w:val="20"/>
        </w:rPr>
        <w:t>The data subject has given explicit, informed consent to the transfer after being made aware of the risks.</w:t>
      </w:r>
    </w:p>
    <w:p>
      <w:pPr>
        <w:pStyle w:val="ListBullet"/>
        <w:ind w:left="432"/>
      </w:pPr>
      <w:r>
        <w:rPr>
          <w:rFonts w:ascii="Arial" w:hAnsi="Arial"/>
          <w:sz w:val="20"/>
        </w:rPr>
        <w:t>The transfer is necessary for the performance of a contract at the request of the data subject.</w:t>
      </w:r>
    </w:p>
    <w:p/>
    <w:p>
      <w:r>
        <w:rPr>
          <w:rFonts w:ascii="Arial" w:hAnsi="Arial"/>
          <w:b w:val="0"/>
          <w:sz w:val="20"/>
        </w:rPr>
        <w:t>CRITICAL: Talkdesk CRM Platform — OmniContact uses Talkdesk Inc. (incorporated in the United States) as its contact centre CRM platform. Call recordings and associated client personal data are hosted on Talkdesk servers located outside Zimbabwe. This arrangement has been assessed as a cross-border transfer under the CDPA and is governed by a formal Data Processing Agreement (DPA) incorporating Standard Contractual Clauses. Full documentation is maintained in the Cross-Border Data Transfer Policy (CDPA-OMNI-P006) and the DPIA for Talkdesk (CDPA-OMNI-DPIA-001).</w:t>
      </w:r>
    </w:p>
    <w:p/>
    <w:p>
      <w:r>
        <w:rPr>
          <w:rFonts w:ascii="Arial" w:hAnsi="Arial"/>
          <w:b w:val="0"/>
          <w:sz w:val="20"/>
        </w:rPr>
        <w:t>Where required by the CDPA, OmniContact will notify POTRAZ of cross-border transfers prior to their commencement and maintain records of all transfers in the Records of Processing Activities.</w:t>
      </w:r>
    </w:p>
    <w:p>
      <w:r>
        <w:br w:type="page"/>
      </w:r>
    </w:p>
    <w:p>
      <w:pPr>
        <w:pStyle w:val="Heading1"/>
      </w:pPr>
      <w:r>
        <w:rPr>
          <w:rFonts w:ascii="Arial" w:hAnsi="Arial"/>
          <w:color w:val="2C74B5"/>
          <w:sz w:val="26"/>
        </w:rPr>
        <w:t>9.  Data Security</w:t>
      </w:r>
    </w:p>
    <w:p>
      <w:r>
        <w:rPr>
          <w:rFonts w:ascii="Arial" w:hAnsi="Arial"/>
          <w:b w:val="0"/>
          <w:sz w:val="20"/>
        </w:rPr>
        <w:t>OmniContact implements appropriate technical and organisational security measures to protect personal data against unauthorised or unlawful processing, accidental loss, destruction, or damage. These measures are detailed in the Information Security Policy (ISMS-OMNI-P001) and include, but are not limited to:</w:t>
      </w:r>
    </w:p>
    <w:p/>
    <w:p>
      <w:pPr>
        <w:pStyle w:val="Heading2"/>
      </w:pPr>
      <w:r>
        <w:rPr>
          <w:rFonts w:ascii="Arial" w:hAnsi="Arial"/>
          <w:color w:val="4F81BB"/>
          <w:sz w:val="22"/>
        </w:rPr>
        <w:t>9.1  Technical Measures</w:t>
      </w:r>
    </w:p>
    <w:p>
      <w:pPr>
        <w:pStyle w:val="ListBullet"/>
        <w:ind w:left="432"/>
      </w:pPr>
      <w:r>
        <w:rPr>
          <w:rFonts w:ascii="Arial" w:hAnsi="Arial"/>
          <w:sz w:val="20"/>
        </w:rPr>
        <w:t>AES-256 encryption of personal data at rest across all systems.</w:t>
      </w:r>
    </w:p>
    <w:p>
      <w:pPr>
        <w:pStyle w:val="ListBullet"/>
        <w:ind w:left="432"/>
      </w:pPr>
      <w:r>
        <w:rPr>
          <w:rFonts w:ascii="Arial" w:hAnsi="Arial"/>
          <w:sz w:val="20"/>
        </w:rPr>
        <w:t>TLS 1.2/1.3 encryption of personal data in transit.</w:t>
      </w:r>
    </w:p>
    <w:p>
      <w:pPr>
        <w:pStyle w:val="ListBullet"/>
        <w:ind w:left="432"/>
      </w:pPr>
      <w:r>
        <w:rPr>
          <w:rFonts w:ascii="Arial" w:hAnsi="Arial"/>
          <w:sz w:val="20"/>
        </w:rPr>
        <w:t>Multi-Factor Authentication (MFA) for all systems processing personal data.</w:t>
      </w:r>
    </w:p>
    <w:p>
      <w:pPr>
        <w:pStyle w:val="ListBullet"/>
        <w:ind w:left="432"/>
      </w:pPr>
      <w:r>
        <w:rPr>
          <w:rFonts w:ascii="Arial" w:hAnsi="Arial"/>
          <w:sz w:val="20"/>
        </w:rPr>
        <w:t>Role-Based Access Control (RBAC) ensuring least-privilege access.</w:t>
      </w:r>
    </w:p>
    <w:p>
      <w:pPr>
        <w:pStyle w:val="ListBullet"/>
        <w:ind w:left="432"/>
      </w:pPr>
      <w:r>
        <w:rPr>
          <w:rFonts w:ascii="Arial" w:hAnsi="Arial"/>
          <w:sz w:val="20"/>
        </w:rPr>
        <w:t>Firewall protection and Intrusion Detection/Prevention Systems (IDS/IPS).</w:t>
      </w:r>
    </w:p>
    <w:p>
      <w:pPr>
        <w:pStyle w:val="ListBullet"/>
        <w:ind w:left="432"/>
      </w:pPr>
      <w:r>
        <w:rPr>
          <w:rFonts w:ascii="Arial" w:hAnsi="Arial"/>
          <w:sz w:val="20"/>
        </w:rPr>
        <w:t>Endpoint Detection and Response (EDR) solutions on all devices.</w:t>
      </w:r>
    </w:p>
    <w:p>
      <w:pPr>
        <w:pStyle w:val="ListBullet"/>
        <w:ind w:left="432"/>
      </w:pPr>
      <w:r>
        <w:rPr>
          <w:rFonts w:ascii="Arial" w:hAnsi="Arial"/>
          <w:sz w:val="20"/>
        </w:rPr>
        <w:t>Regular vulnerability scanning and penetration testing (at minimum annually).</w:t>
      </w:r>
    </w:p>
    <w:p>
      <w:pPr>
        <w:pStyle w:val="ListBullet"/>
        <w:ind w:left="432"/>
      </w:pPr>
      <w:r>
        <w:rPr>
          <w:rFonts w:ascii="Arial" w:hAnsi="Arial"/>
          <w:sz w:val="20"/>
        </w:rPr>
        <w:t>SIEM and log management for security event monitoring.</w:t>
      </w:r>
    </w:p>
    <w:p>
      <w:pPr>
        <w:pStyle w:val="ListBullet"/>
        <w:ind w:left="432"/>
      </w:pPr>
      <w:r>
        <w:rPr>
          <w:rFonts w:ascii="Arial" w:hAnsi="Arial"/>
          <w:sz w:val="20"/>
        </w:rPr>
        <w:t>Data Loss Prevention (DLP) tools to prevent unauthorised exfiltration.</w:t>
      </w:r>
    </w:p>
    <w:p>
      <w:pPr>
        <w:pStyle w:val="ListBullet"/>
        <w:ind w:left="432"/>
      </w:pPr>
      <w:r>
        <w:rPr>
          <w:rFonts w:ascii="Arial" w:hAnsi="Arial"/>
          <w:sz w:val="20"/>
        </w:rPr>
        <w:t>Automated screen lock policies and clean desk/clear screen enforcement.</w:t>
      </w:r>
    </w:p>
    <w:p/>
    <w:p>
      <w:pPr>
        <w:pStyle w:val="Heading2"/>
      </w:pPr>
      <w:r>
        <w:rPr>
          <w:rFonts w:ascii="Arial" w:hAnsi="Arial"/>
          <w:color w:val="4F81BB"/>
          <w:sz w:val="22"/>
        </w:rPr>
        <w:t>9.2  Organisational Measures</w:t>
      </w:r>
    </w:p>
    <w:p>
      <w:pPr>
        <w:pStyle w:val="ListBullet"/>
        <w:ind w:left="432"/>
      </w:pPr>
      <w:r>
        <w:rPr>
          <w:rFonts w:ascii="Arial" w:hAnsi="Arial"/>
          <w:sz w:val="20"/>
        </w:rPr>
        <w:t>Background screening and confidentiality agreements for all staff and contractors.</w:t>
      </w:r>
    </w:p>
    <w:p>
      <w:pPr>
        <w:pStyle w:val="ListBullet"/>
        <w:ind w:left="432"/>
      </w:pPr>
      <w:r>
        <w:rPr>
          <w:rFonts w:ascii="Arial" w:hAnsi="Arial"/>
          <w:sz w:val="20"/>
        </w:rPr>
        <w:t>Mandatory data protection and information security training for all staff.</w:t>
      </w:r>
    </w:p>
    <w:p>
      <w:pPr>
        <w:pStyle w:val="ListBullet"/>
        <w:ind w:left="432"/>
      </w:pPr>
      <w:r>
        <w:rPr>
          <w:rFonts w:ascii="Arial" w:hAnsi="Arial"/>
          <w:sz w:val="20"/>
        </w:rPr>
        <w:t>Data Protection Impact Assessments (DPIAs) for high-risk processing activities.</w:t>
      </w:r>
    </w:p>
    <w:p>
      <w:pPr>
        <w:pStyle w:val="ListBullet"/>
        <w:ind w:left="432"/>
      </w:pPr>
      <w:r>
        <w:rPr>
          <w:rFonts w:ascii="Arial" w:hAnsi="Arial"/>
          <w:sz w:val="20"/>
        </w:rPr>
        <w:t>Data Processing Agreements with all third-party processors.</w:t>
      </w:r>
    </w:p>
    <w:p>
      <w:pPr>
        <w:pStyle w:val="ListBullet"/>
        <w:ind w:left="432"/>
      </w:pPr>
      <w:r>
        <w:rPr>
          <w:rFonts w:ascii="Arial" w:hAnsi="Arial"/>
          <w:sz w:val="20"/>
        </w:rPr>
        <w:t>Segregation of duties and quarterly access reviews.</w:t>
      </w:r>
    </w:p>
    <w:p>
      <w:pPr>
        <w:pStyle w:val="ListBullet"/>
        <w:ind w:left="432"/>
      </w:pPr>
      <w:r>
        <w:rPr>
          <w:rFonts w:ascii="Arial" w:hAnsi="Arial"/>
          <w:sz w:val="20"/>
        </w:rPr>
        <w:t>Regular internal privacy audits and compliance assessments.</w:t>
      </w:r>
    </w:p>
    <w:p>
      <w:pPr>
        <w:pStyle w:val="ListBullet"/>
        <w:ind w:left="432"/>
      </w:pPr>
      <w:r>
        <w:rPr>
          <w:rFonts w:ascii="Arial" w:hAnsi="Arial"/>
          <w:sz w:val="20"/>
        </w:rPr>
        <w:t>Business Continuity and Disaster Recovery Plans addressing personal data.</w:t>
      </w:r>
    </w:p>
    <w:p>
      <w:r>
        <w:br w:type="page"/>
      </w:r>
    </w:p>
    <w:p>
      <w:pPr>
        <w:pStyle w:val="Heading1"/>
      </w:pPr>
      <w:r>
        <w:rPr>
          <w:rFonts w:ascii="Arial" w:hAnsi="Arial"/>
          <w:color w:val="2C74B5"/>
          <w:sz w:val="26"/>
        </w:rPr>
        <w:t>10.  Breach Notification</w:t>
      </w:r>
    </w:p>
    <w:p>
      <w:r>
        <w:rPr>
          <w:rFonts w:ascii="Arial" w:hAnsi="Arial"/>
          <w:b w:val="0"/>
          <w:sz w:val="20"/>
        </w:rPr>
        <w:t>OmniContact is required under the CDPA to notify POTRAZ of a personal data breach without undue delay and, where feasible, within 72 hours of becoming aware of it, unless the breach is unlikely to result in a risk to the rights and freedoms of data subjects. Where notification is not made within 72 hours, a reasoned justification must accompany the late notification.</w:t>
      </w:r>
    </w:p>
    <w:p/>
    <w:p>
      <w:r>
        <w:rPr>
          <w:rFonts w:ascii="Arial" w:hAnsi="Arial"/>
          <w:b w:val="0"/>
          <w:sz w:val="20"/>
        </w:rPr>
        <w:t>The breach notification process is as follows:</w:t>
      </w:r>
    </w:p>
    <w:p>
      <w:pPr>
        <w:ind w:left="432"/>
      </w:pPr>
      <w:r>
        <w:rPr>
          <w:rFonts w:ascii="Arial" w:hAnsi="Arial"/>
          <w:b/>
          <w:color w:val="2C74B5"/>
          <w:sz w:val="20"/>
        </w:rPr>
        <w:t xml:space="preserve">Step 1: </w:t>
      </w:r>
      <w:r>
        <w:rPr>
          <w:rFonts w:ascii="Arial" w:hAnsi="Arial"/>
          <w:sz w:val="20"/>
        </w:rPr>
        <w:t>Any employee who discovers or suspects a breach must immediately report it to their line manager and the DPO.</w:t>
      </w:r>
    </w:p>
    <w:p>
      <w:pPr>
        <w:ind w:left="432"/>
      </w:pPr>
      <w:r>
        <w:rPr>
          <w:rFonts w:ascii="Arial" w:hAnsi="Arial"/>
          <w:b/>
          <w:color w:val="2C74B5"/>
          <w:sz w:val="20"/>
        </w:rPr>
        <w:t xml:space="preserve">Step 2: </w:t>
      </w:r>
      <w:r>
        <w:rPr>
          <w:rFonts w:ascii="Arial" w:hAnsi="Arial"/>
          <w:sz w:val="20"/>
        </w:rPr>
        <w:t>The DPO leads a triage team to assess the nature, scope, and severity of the breach within the first 12 hours.</w:t>
      </w:r>
    </w:p>
    <w:p>
      <w:pPr>
        <w:ind w:left="432"/>
      </w:pPr>
      <w:r>
        <w:rPr>
          <w:rFonts w:ascii="Arial" w:hAnsi="Arial"/>
          <w:b/>
          <w:color w:val="2C74B5"/>
          <w:sz w:val="20"/>
        </w:rPr>
        <w:t xml:space="preserve">Step 3: </w:t>
      </w:r>
      <w:r>
        <w:rPr>
          <w:rFonts w:ascii="Arial" w:hAnsi="Arial"/>
          <w:sz w:val="20"/>
        </w:rPr>
        <w:t>Where the breach meets the notification threshold, POTRAZ is notified within 72 hours.</w:t>
      </w:r>
    </w:p>
    <w:p>
      <w:pPr>
        <w:ind w:left="432"/>
      </w:pPr>
      <w:r>
        <w:rPr>
          <w:rFonts w:ascii="Arial" w:hAnsi="Arial"/>
          <w:b/>
          <w:color w:val="2C74B5"/>
          <w:sz w:val="20"/>
        </w:rPr>
        <w:t xml:space="preserve">Step 4: </w:t>
      </w:r>
      <w:r>
        <w:rPr>
          <w:rFonts w:ascii="Arial" w:hAnsi="Arial"/>
          <w:sz w:val="20"/>
        </w:rPr>
        <w:t>Where the breach is likely to result in a high risk to data subjects, affected individuals are notified without undue delay.</w:t>
      </w:r>
    </w:p>
    <w:p>
      <w:pPr>
        <w:ind w:left="432"/>
      </w:pPr>
      <w:r>
        <w:rPr>
          <w:rFonts w:ascii="Arial" w:hAnsi="Arial"/>
          <w:b/>
          <w:color w:val="2C74B5"/>
          <w:sz w:val="20"/>
        </w:rPr>
        <w:t xml:space="preserve">Step 5: </w:t>
      </w:r>
      <w:r>
        <w:rPr>
          <w:rFonts w:ascii="Arial" w:hAnsi="Arial"/>
          <w:sz w:val="20"/>
        </w:rPr>
        <w:t>A full post-incident review is conducted and findings documented in the Breach Register.</w:t>
      </w:r>
    </w:p>
    <w:p>
      <w:pPr>
        <w:ind w:left="432"/>
      </w:pPr>
      <w:r>
        <w:rPr>
          <w:rFonts w:ascii="Arial" w:hAnsi="Arial"/>
          <w:b/>
          <w:color w:val="2C74B5"/>
          <w:sz w:val="20"/>
        </w:rPr>
        <w:t xml:space="preserve">Step 6: </w:t>
      </w:r>
      <w:r>
        <w:rPr>
          <w:rFonts w:ascii="Arial" w:hAnsi="Arial"/>
          <w:sz w:val="20"/>
        </w:rPr>
        <w:t>The DPO reports significant breaches to senior management and, if required, to the Board.</w:t>
      </w:r>
    </w:p>
    <w:p/>
    <w:p>
      <w:r>
        <w:rPr>
          <w:rFonts w:ascii="Arial" w:hAnsi="Arial"/>
          <w:b w:val="0"/>
          <w:sz w:val="20"/>
        </w:rPr>
        <w:t>Full procedures are set out in the Data Breach &amp; Incident Response Procedure (CDPA-OMNI-P004). A Breach Register must be maintained by the DPO for all incidents, regardless of whether they meet the POTRAZ notification threshold.</w:t>
      </w:r>
    </w:p>
    <w:p>
      <w:r>
        <w:br w:type="page"/>
      </w:r>
    </w:p>
    <w:p>
      <w:pPr>
        <w:pStyle w:val="Heading1"/>
      </w:pPr>
      <w:r>
        <w:rPr>
          <w:rFonts w:ascii="Arial" w:hAnsi="Arial"/>
          <w:color w:val="2C74B5"/>
          <w:sz w:val="26"/>
        </w:rPr>
        <w:t>11.  Data Retention and Disposal</w:t>
      </w:r>
    </w:p>
    <w:p>
      <w:r>
        <w:rPr>
          <w:rFonts w:ascii="Arial" w:hAnsi="Arial"/>
          <w:b w:val="0"/>
          <w:sz w:val="20"/>
        </w:rPr>
        <w:t>Personal data must not be retained for longer than is necessary for the purpose for which it was collected. Retention periods for each category of personal data are set out in the Data Retention &amp; Disposal Policy (CDPA-OMNI-P002) and the corresponding Retention Schedule.</w:t>
      </w:r>
    </w:p>
    <w:p/>
    <w:p>
      <w:r>
        <w:rPr>
          <w:rFonts w:ascii="Arial" w:hAnsi="Arial"/>
          <w:b w:val="0"/>
          <w:sz w:val="20"/>
        </w:rPr>
        <w:t>Where personal data has reached the end of its retention period, it must be securely disposed of using methods appropriate to its sensitivity:</w:t>
      </w:r>
    </w:p>
    <w:p>
      <w:pPr>
        <w:pStyle w:val="ListBullet"/>
        <w:ind w:left="432"/>
      </w:pPr>
      <w:r>
        <w:rPr>
          <w:rFonts w:ascii="Arial" w:hAnsi="Arial"/>
          <w:sz w:val="20"/>
        </w:rPr>
        <w:t>Digital data: Secure electronic deletion using a method that prevents recovery (e.g., DoD 5220.22-M standard or equivalent cryptographic erasure).</w:t>
      </w:r>
    </w:p>
    <w:p>
      <w:pPr>
        <w:pStyle w:val="ListBullet"/>
        <w:ind w:left="432"/>
      </w:pPr>
      <w:r>
        <w:rPr>
          <w:rFonts w:ascii="Arial" w:hAnsi="Arial"/>
          <w:sz w:val="20"/>
        </w:rPr>
        <w:t>Physical data: Cross-cut shredding or incineration through an approved contractor.</w:t>
      </w:r>
    </w:p>
    <w:p>
      <w:pPr>
        <w:pStyle w:val="ListBullet"/>
        <w:ind w:left="432"/>
      </w:pPr>
      <w:r>
        <w:rPr>
          <w:rFonts w:ascii="Arial" w:hAnsi="Arial"/>
          <w:sz w:val="20"/>
        </w:rPr>
        <w:t>Data held by third-party processors: Deletion must be confirmed in writing by the processor.</w:t>
      </w:r>
    </w:p>
    <w:p/>
    <w:p>
      <w:r>
        <w:rPr>
          <w:rFonts w:ascii="Arial" w:hAnsi="Arial"/>
          <w:b w:val="0"/>
          <w:sz w:val="20"/>
        </w:rPr>
        <w:t>Disposal activities must be recorded in the Disposal Log maintained by the relevant Data Owner.</w:t>
      </w:r>
    </w:p>
    <w:p>
      <w:pPr>
        <w:pStyle w:val="Heading1"/>
      </w:pPr>
      <w:r>
        <w:rPr>
          <w:rFonts w:ascii="Arial" w:hAnsi="Arial"/>
          <w:color w:val="2C74B5"/>
          <w:sz w:val="26"/>
        </w:rPr>
        <w:t>12.  Training and Awareness</w:t>
      </w:r>
    </w:p>
    <w:p>
      <w:r>
        <w:rPr>
          <w:rFonts w:ascii="Arial" w:hAnsi="Arial"/>
          <w:b w:val="0"/>
          <w:sz w:val="20"/>
        </w:rPr>
        <w:t>All OmniContact employees, contractors, and temporary staff are required to complete mandatory CDPA data protection awareness training within 30 days of joining the organisation and thereafter on an annual basis, or whenever there are material changes to applicable law or OmniContact's policies. Records of training completion are maintained in the CDPA Training Register (CDPA-OMNI-R001).</w:t>
      </w:r>
    </w:p>
    <w:p/>
    <w:p>
      <w:r>
        <w:rPr>
          <w:rFonts w:ascii="Arial" w:hAnsi="Arial"/>
          <w:b w:val="0"/>
          <w:sz w:val="20"/>
        </w:rPr>
        <w:t>Staff in roles with elevated data protection responsibilities (DPO, IT team, HR, Operations managers) are required to undertake additional specialist training appropriate to their role.</w:t>
      </w:r>
    </w:p>
    <w:p>
      <w:r>
        <w:br w:type="page"/>
      </w:r>
    </w:p>
    <w:p>
      <w:pPr>
        <w:pStyle w:val="Heading1"/>
      </w:pPr>
      <w:r>
        <w:rPr>
          <w:rFonts w:ascii="Arial" w:hAnsi="Arial"/>
          <w:color w:val="2C74B5"/>
          <w:sz w:val="26"/>
        </w:rPr>
        <w:t>13.  Compliance, Monitoring, and Enforcement</w:t>
      </w:r>
    </w:p>
    <w:p>
      <w:r>
        <w:rPr>
          <w:rFonts w:ascii="Arial" w:hAnsi="Arial"/>
          <w:b w:val="0"/>
          <w:sz w:val="20"/>
        </w:rPr>
        <w:t>The DPO is responsible for monitoring compliance with this Policy. Periodic internal privacy audits will be conducted at least annually. Non-compliance may result in disciplinary action up to and including dismissal, and may also give rise to regulatory sanctions or civil liability under the CDPA.</w:t>
      </w:r>
    </w:p>
    <w:p/>
    <w:p>
      <w:r>
        <w:rPr>
          <w:rFonts w:ascii="Arial" w:hAnsi="Arial"/>
          <w:b w:val="0"/>
          <w:sz w:val="20"/>
        </w:rPr>
        <w:t>OmniContact cooperates fully with POTRAZ in the exercise of its regulatory functions and will respond to all regulatory enquiries promptly and accurately. OmniContact maintains its registration as a data controller with POTRAZ and ensures annual renewal of such registration as required.</w:t>
      </w:r>
    </w:p>
    <w:p>
      <w:pPr>
        <w:pStyle w:val="Heading1"/>
      </w:pPr>
      <w:r>
        <w:rPr>
          <w:rFonts w:ascii="Arial" w:hAnsi="Arial"/>
          <w:color w:val="2C74B5"/>
          <w:sz w:val="26"/>
        </w:rPr>
        <w:t>14.  Review</w:t>
      </w:r>
    </w:p>
    <w:p>
      <w:r>
        <w:rPr>
          <w:rFonts w:ascii="Arial" w:hAnsi="Arial"/>
          <w:b w:val="0"/>
          <w:sz w:val="20"/>
        </w:rPr>
        <w:t>This Policy will be reviewed by the DPO at least annually, or sooner in the event of any of the following: a material change to the CDPA or subsidiary legislation; a significant change to OmniContact's data processing operations; a material data breach; or a regulatory audit finding. Any revisions must be approved by senior management before the updated Policy is issued.</w:t>
      </w:r>
    </w:p>
    <w:p>
      <w:r>
        <w:br w:type="page"/>
      </w:r>
    </w:p>
    <w:p>
      <w:pPr>
        <w:pStyle w:val="Heading1"/>
      </w:pPr>
      <w:r>
        <w:rPr>
          <w:rFonts w:ascii="Arial" w:hAnsi="Arial"/>
          <w:color w:val="2C74B5"/>
          <w:sz w:val="26"/>
        </w:rPr>
        <w:t>Annex A: CDPA Legal Basis Quick Reference</w:t>
      </w:r>
    </w:p>
    <w:p>
      <w:r>
        <w:rPr>
          <w:rFonts w:ascii="Arial" w:hAnsi="Arial"/>
          <w:b w:val="0"/>
          <w:sz w:val="20"/>
        </w:rPr>
        <w:t>This annex provides a quick reference guide to the legal bases available under the CDPA for OmniContact's key processing activities.</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C74B5"/>
          </w:tcPr>
          <w:p>
            <w:r>
              <w:rPr>
                <w:rFonts w:ascii="Arial" w:hAnsi="Arial"/>
                <w:b/>
                <w:color w:val="FFFFFF"/>
                <w:sz w:val="18"/>
              </w:rPr>
              <w:t>Processing Activity</w:t>
            </w:r>
          </w:p>
        </w:tc>
        <w:tc>
          <w:tcPr>
            <w:tcW w:type="dxa" w:w="2268"/>
            <w:shd w:val="clear" w:color="auto" w:fill="2C74B5"/>
          </w:tcPr>
          <w:p>
            <w:r>
              <w:rPr>
                <w:rFonts w:ascii="Arial" w:hAnsi="Arial"/>
                <w:b/>
                <w:color w:val="FFFFFF"/>
                <w:sz w:val="18"/>
              </w:rPr>
              <w:t>Data Category</w:t>
            </w:r>
          </w:p>
        </w:tc>
        <w:tc>
          <w:tcPr>
            <w:tcW w:type="dxa" w:w="2268"/>
            <w:shd w:val="clear" w:color="auto" w:fill="2C74B5"/>
          </w:tcPr>
          <w:p>
            <w:r>
              <w:rPr>
                <w:rFonts w:ascii="Arial" w:hAnsi="Arial"/>
                <w:b/>
                <w:color w:val="FFFFFF"/>
                <w:sz w:val="18"/>
              </w:rPr>
              <w:t>Legal Basis</w:t>
            </w:r>
          </w:p>
        </w:tc>
        <w:tc>
          <w:tcPr>
            <w:tcW w:type="dxa" w:w="2268"/>
            <w:shd w:val="clear" w:color="auto" w:fill="2C74B5"/>
          </w:tcPr>
          <w:p>
            <w:r>
              <w:rPr>
                <w:rFonts w:ascii="Arial" w:hAnsi="Arial"/>
                <w:b/>
                <w:color w:val="FFFFFF"/>
                <w:sz w:val="18"/>
              </w:rPr>
              <w:t>Notes</w:t>
            </w:r>
          </w:p>
        </w:tc>
      </w:tr>
      <w:tr>
        <w:tc>
          <w:tcPr>
            <w:tcW w:type="dxa" w:w="2268"/>
            <w:shd w:val="clear" w:color="auto" w:fill="FFFFFF"/>
          </w:tcPr>
          <w:p>
            <w:r>
              <w:rPr>
                <w:rFonts w:ascii="Arial" w:hAnsi="Arial"/>
                <w:sz w:val="18"/>
              </w:rPr>
              <w:t>Employee Payroll</w:t>
            </w:r>
          </w:p>
        </w:tc>
        <w:tc>
          <w:tcPr>
            <w:tcW w:type="dxa" w:w="2268"/>
            <w:shd w:val="clear" w:color="auto" w:fill="FFFFFF"/>
          </w:tcPr>
          <w:p>
            <w:r>
              <w:rPr>
                <w:rFonts w:ascii="Arial" w:hAnsi="Arial"/>
                <w:sz w:val="18"/>
              </w:rPr>
              <w:t>Employee PII, Financial</w:t>
            </w:r>
          </w:p>
        </w:tc>
        <w:tc>
          <w:tcPr>
            <w:tcW w:type="dxa" w:w="2268"/>
            <w:shd w:val="clear" w:color="auto" w:fill="FFFFFF"/>
          </w:tcPr>
          <w:p>
            <w:r>
              <w:rPr>
                <w:rFonts w:ascii="Arial" w:hAnsi="Arial"/>
                <w:sz w:val="18"/>
              </w:rPr>
              <w:t>Contract / Legal Obligation</w:t>
            </w:r>
          </w:p>
        </w:tc>
        <w:tc>
          <w:tcPr>
            <w:tcW w:type="dxa" w:w="2268"/>
            <w:shd w:val="clear" w:color="auto" w:fill="FFFFFF"/>
          </w:tcPr>
          <w:p>
            <w:r>
              <w:rPr>
                <w:rFonts w:ascii="Arial" w:hAnsi="Arial"/>
                <w:sz w:val="18"/>
              </w:rPr>
              <w:t>Income Tax Act, Labour Act</w:t>
            </w:r>
          </w:p>
        </w:tc>
      </w:tr>
      <w:tr>
        <w:tc>
          <w:tcPr>
            <w:tcW w:type="dxa" w:w="2268"/>
            <w:shd w:val="clear" w:color="auto" w:fill="EBF3FA"/>
          </w:tcPr>
          <w:p>
            <w:r>
              <w:rPr>
                <w:rFonts w:ascii="Arial" w:hAnsi="Arial"/>
                <w:sz w:val="18"/>
              </w:rPr>
              <w:t>Recruitment &amp; Onboarding</w:t>
            </w:r>
          </w:p>
        </w:tc>
        <w:tc>
          <w:tcPr>
            <w:tcW w:type="dxa" w:w="2268"/>
            <w:shd w:val="clear" w:color="auto" w:fill="EBF3FA"/>
          </w:tcPr>
          <w:p>
            <w:r>
              <w:rPr>
                <w:rFonts w:ascii="Arial" w:hAnsi="Arial"/>
                <w:sz w:val="18"/>
              </w:rPr>
              <w:t>Applicant PII, Health, Criminal</w:t>
            </w:r>
          </w:p>
        </w:tc>
        <w:tc>
          <w:tcPr>
            <w:tcW w:type="dxa" w:w="2268"/>
            <w:shd w:val="clear" w:color="auto" w:fill="EBF3FA"/>
          </w:tcPr>
          <w:p>
            <w:r>
              <w:rPr>
                <w:rFonts w:ascii="Arial" w:hAnsi="Arial"/>
                <w:sz w:val="18"/>
              </w:rPr>
              <w:t>Contract / Consent (sensitive data)</w:t>
            </w:r>
          </w:p>
        </w:tc>
        <w:tc>
          <w:tcPr>
            <w:tcW w:type="dxa" w:w="2268"/>
            <w:shd w:val="clear" w:color="auto" w:fill="EBF3FA"/>
          </w:tcPr>
          <w:p>
            <w:r>
              <w:rPr>
                <w:rFonts w:ascii="Arial" w:hAnsi="Arial"/>
                <w:sz w:val="18"/>
              </w:rPr>
              <w:t>Explicit consent for sensitive categories</w:t>
            </w:r>
          </w:p>
        </w:tc>
      </w:tr>
      <w:tr>
        <w:tc>
          <w:tcPr>
            <w:tcW w:type="dxa" w:w="2268"/>
            <w:shd w:val="clear" w:color="auto" w:fill="FFFFFF"/>
          </w:tcPr>
          <w:p>
            <w:r>
              <w:rPr>
                <w:rFonts w:ascii="Arial" w:hAnsi="Arial"/>
                <w:sz w:val="18"/>
              </w:rPr>
              <w:t>Call Recording (Client Calls)</w:t>
            </w:r>
          </w:p>
        </w:tc>
        <w:tc>
          <w:tcPr>
            <w:tcW w:type="dxa" w:w="2268"/>
            <w:shd w:val="clear" w:color="auto" w:fill="FFFFFF"/>
          </w:tcPr>
          <w:p>
            <w:r>
              <w:rPr>
                <w:rFonts w:ascii="Arial" w:hAnsi="Arial"/>
                <w:sz w:val="18"/>
              </w:rPr>
              <w:t>Client PII, Voice Recordings</w:t>
            </w:r>
          </w:p>
        </w:tc>
        <w:tc>
          <w:tcPr>
            <w:tcW w:type="dxa" w:w="2268"/>
            <w:shd w:val="clear" w:color="auto" w:fill="FFFFFF"/>
          </w:tcPr>
          <w:p>
            <w:r>
              <w:rPr>
                <w:rFonts w:ascii="Arial" w:hAnsi="Arial"/>
                <w:sz w:val="18"/>
              </w:rPr>
              <w:t>Contract (via client DPA) / Legitimate Interest</w:t>
            </w:r>
          </w:p>
        </w:tc>
        <w:tc>
          <w:tcPr>
            <w:tcW w:type="dxa" w:w="2268"/>
            <w:shd w:val="clear" w:color="auto" w:fill="FFFFFF"/>
          </w:tcPr>
          <w:p>
            <w:r>
              <w:rPr>
                <w:rFonts w:ascii="Arial" w:hAnsi="Arial"/>
                <w:sz w:val="18"/>
              </w:rPr>
              <w:t>Disclosed to callers via IVR</w:t>
            </w:r>
          </w:p>
        </w:tc>
      </w:tr>
      <w:tr>
        <w:tc>
          <w:tcPr>
            <w:tcW w:type="dxa" w:w="2268"/>
            <w:shd w:val="clear" w:color="auto" w:fill="EBF3FA"/>
          </w:tcPr>
          <w:p>
            <w:r>
              <w:rPr>
                <w:rFonts w:ascii="Arial" w:hAnsi="Arial"/>
                <w:sz w:val="18"/>
              </w:rPr>
              <w:t>Employee Benefits Administration</w:t>
            </w:r>
          </w:p>
        </w:tc>
        <w:tc>
          <w:tcPr>
            <w:tcW w:type="dxa" w:w="2268"/>
            <w:shd w:val="clear" w:color="auto" w:fill="EBF3FA"/>
          </w:tcPr>
          <w:p>
            <w:r>
              <w:rPr>
                <w:rFonts w:ascii="Arial" w:hAnsi="Arial"/>
                <w:sz w:val="18"/>
              </w:rPr>
              <w:t>Health Data, Financial</w:t>
            </w:r>
          </w:p>
        </w:tc>
        <w:tc>
          <w:tcPr>
            <w:tcW w:type="dxa" w:w="2268"/>
            <w:shd w:val="clear" w:color="auto" w:fill="EBF3FA"/>
          </w:tcPr>
          <w:p>
            <w:r>
              <w:rPr>
                <w:rFonts w:ascii="Arial" w:hAnsi="Arial"/>
                <w:sz w:val="18"/>
              </w:rPr>
              <w:t>Contract / Legal Obligation</w:t>
            </w:r>
          </w:p>
        </w:tc>
        <w:tc>
          <w:tcPr>
            <w:tcW w:type="dxa" w:w="2268"/>
            <w:shd w:val="clear" w:color="auto" w:fill="EBF3FA"/>
          </w:tcPr>
          <w:p>
            <w:r>
              <w:rPr>
                <w:rFonts w:ascii="Arial" w:hAnsi="Arial"/>
                <w:sz w:val="18"/>
              </w:rPr>
              <w:t>Explicit consent for health data</w:t>
            </w:r>
          </w:p>
        </w:tc>
      </w:tr>
      <w:tr>
        <w:tc>
          <w:tcPr>
            <w:tcW w:type="dxa" w:w="2268"/>
            <w:shd w:val="clear" w:color="auto" w:fill="FFFFFF"/>
          </w:tcPr>
          <w:p>
            <w:r>
              <w:rPr>
                <w:rFonts w:ascii="Arial" w:hAnsi="Arial"/>
                <w:sz w:val="18"/>
              </w:rPr>
              <w:t>Security Monitoring (Darktrace, SIEM)</w:t>
            </w:r>
          </w:p>
        </w:tc>
        <w:tc>
          <w:tcPr>
            <w:tcW w:type="dxa" w:w="2268"/>
            <w:shd w:val="clear" w:color="auto" w:fill="FFFFFF"/>
          </w:tcPr>
          <w:p>
            <w:r>
              <w:rPr>
                <w:rFonts w:ascii="Arial" w:hAnsi="Arial"/>
                <w:sz w:val="18"/>
              </w:rPr>
              <w:t>Network Metadata</w:t>
            </w:r>
          </w:p>
        </w:tc>
        <w:tc>
          <w:tcPr>
            <w:tcW w:type="dxa" w:w="2268"/>
            <w:shd w:val="clear" w:color="auto" w:fill="FFFFFF"/>
          </w:tcPr>
          <w:p>
            <w:r>
              <w:rPr>
                <w:rFonts w:ascii="Arial" w:hAnsi="Arial"/>
                <w:sz w:val="18"/>
              </w:rPr>
              <w:t>Legitimate Interest</w:t>
            </w:r>
          </w:p>
        </w:tc>
        <w:tc>
          <w:tcPr>
            <w:tcW w:type="dxa" w:w="2268"/>
            <w:shd w:val="clear" w:color="auto" w:fill="FFFFFF"/>
          </w:tcPr>
          <w:p>
            <w:r>
              <w:rPr>
                <w:rFonts w:ascii="Arial" w:hAnsi="Arial"/>
                <w:sz w:val="18"/>
              </w:rPr>
              <w:t>LIA conducted and documented</w:t>
            </w:r>
          </w:p>
        </w:tc>
      </w:tr>
      <w:tr>
        <w:tc>
          <w:tcPr>
            <w:tcW w:type="dxa" w:w="2268"/>
            <w:shd w:val="clear" w:color="auto" w:fill="EBF3FA"/>
          </w:tcPr>
          <w:p>
            <w:r>
              <w:rPr>
                <w:rFonts w:ascii="Arial" w:hAnsi="Arial"/>
                <w:sz w:val="18"/>
              </w:rPr>
              <w:t>AI Routing &amp; Analytics (Talkdesk)</w:t>
            </w:r>
          </w:p>
        </w:tc>
        <w:tc>
          <w:tcPr>
            <w:tcW w:type="dxa" w:w="2268"/>
            <w:shd w:val="clear" w:color="auto" w:fill="EBF3FA"/>
          </w:tcPr>
          <w:p>
            <w:r>
              <w:rPr>
                <w:rFonts w:ascii="Arial" w:hAnsi="Arial"/>
                <w:sz w:val="18"/>
              </w:rPr>
              <w:t>Client PII, Voice</w:t>
            </w:r>
          </w:p>
        </w:tc>
        <w:tc>
          <w:tcPr>
            <w:tcW w:type="dxa" w:w="2268"/>
            <w:shd w:val="clear" w:color="auto" w:fill="EBF3FA"/>
          </w:tcPr>
          <w:p>
            <w:r>
              <w:rPr>
                <w:rFonts w:ascii="Arial" w:hAnsi="Arial"/>
                <w:sz w:val="18"/>
              </w:rPr>
              <w:t>Contract / Legitimate Interest</w:t>
            </w:r>
          </w:p>
        </w:tc>
        <w:tc>
          <w:tcPr>
            <w:tcW w:type="dxa" w:w="2268"/>
            <w:shd w:val="clear" w:color="auto" w:fill="EBF3FA"/>
          </w:tcPr>
          <w:p>
            <w:r>
              <w:rPr>
                <w:rFonts w:ascii="Arial" w:hAnsi="Arial"/>
                <w:sz w:val="18"/>
              </w:rPr>
              <w:t>Cross-border transfer — DPA in place</w:t>
            </w:r>
          </w:p>
        </w:tc>
      </w:tr>
      <w:tr>
        <w:tc>
          <w:tcPr>
            <w:tcW w:type="dxa" w:w="2268"/>
            <w:shd w:val="clear" w:color="auto" w:fill="FFFFFF"/>
          </w:tcPr>
          <w:p>
            <w:r>
              <w:rPr>
                <w:rFonts w:ascii="Arial" w:hAnsi="Arial"/>
                <w:sz w:val="18"/>
              </w:rPr>
              <w:t>Microsoft 365 Copilot</w:t>
            </w:r>
          </w:p>
        </w:tc>
        <w:tc>
          <w:tcPr>
            <w:tcW w:type="dxa" w:w="2268"/>
            <w:shd w:val="clear" w:color="auto" w:fill="FFFFFF"/>
          </w:tcPr>
          <w:p>
            <w:r>
              <w:rPr>
                <w:rFonts w:ascii="Arial" w:hAnsi="Arial"/>
                <w:sz w:val="18"/>
              </w:rPr>
              <w:t>Internal docs, Email, Meetings</w:t>
            </w:r>
          </w:p>
        </w:tc>
        <w:tc>
          <w:tcPr>
            <w:tcW w:type="dxa" w:w="2268"/>
            <w:shd w:val="clear" w:color="auto" w:fill="FFFFFF"/>
          </w:tcPr>
          <w:p>
            <w:r>
              <w:rPr>
                <w:rFonts w:ascii="Arial" w:hAnsi="Arial"/>
                <w:sz w:val="18"/>
              </w:rPr>
              <w:t>Legitimate Interest</w:t>
            </w:r>
          </w:p>
        </w:tc>
        <w:tc>
          <w:tcPr>
            <w:tcW w:type="dxa" w:w="2268"/>
            <w:shd w:val="clear" w:color="auto" w:fill="FFFFFF"/>
          </w:tcPr>
          <w:p>
            <w:r>
              <w:rPr>
                <w:rFonts w:ascii="Arial" w:hAnsi="Arial"/>
                <w:sz w:val="18"/>
              </w:rPr>
              <w:t>DLP controls in place; DPIA required</w:t>
            </w:r>
          </w:p>
        </w:tc>
      </w:tr>
      <w:tr>
        <w:tc>
          <w:tcPr>
            <w:tcW w:type="dxa" w:w="2268"/>
            <w:shd w:val="clear" w:color="auto" w:fill="EBF3FA"/>
          </w:tcPr>
          <w:p>
            <w:r>
              <w:rPr>
                <w:rFonts w:ascii="Arial" w:hAnsi="Arial"/>
                <w:sz w:val="18"/>
              </w:rPr>
              <w:t>OmniPulse (Sentiment Analysis)</w:t>
            </w:r>
          </w:p>
        </w:tc>
        <w:tc>
          <w:tcPr>
            <w:tcW w:type="dxa" w:w="2268"/>
            <w:shd w:val="clear" w:color="auto" w:fill="EBF3FA"/>
          </w:tcPr>
          <w:p>
            <w:r>
              <w:rPr>
                <w:rFonts w:ascii="Arial" w:hAnsi="Arial"/>
                <w:sz w:val="18"/>
              </w:rPr>
              <w:t>Customer Feedback, Social Data</w:t>
            </w:r>
          </w:p>
        </w:tc>
        <w:tc>
          <w:tcPr>
            <w:tcW w:type="dxa" w:w="2268"/>
            <w:shd w:val="clear" w:color="auto" w:fill="EBF3FA"/>
          </w:tcPr>
          <w:p>
            <w:r>
              <w:rPr>
                <w:rFonts w:ascii="Arial" w:hAnsi="Arial"/>
                <w:sz w:val="18"/>
              </w:rPr>
              <w:t>Legitimate Interest / Consent</w:t>
            </w:r>
          </w:p>
        </w:tc>
        <w:tc>
          <w:tcPr>
            <w:tcW w:type="dxa" w:w="2268"/>
            <w:shd w:val="clear" w:color="auto" w:fill="EBF3FA"/>
          </w:tcPr>
          <w:p>
            <w:r>
              <w:rPr>
                <w:rFonts w:ascii="Arial" w:hAnsi="Arial"/>
                <w:sz w:val="18"/>
              </w:rPr>
              <w:t>Review against CDPA Art. 6 ongoing</w:t>
            </w:r>
          </w:p>
        </w:tc>
      </w:tr>
      <w:tr>
        <w:tc>
          <w:tcPr>
            <w:tcW w:type="dxa" w:w="2268"/>
            <w:shd w:val="clear" w:color="auto" w:fill="FFFFFF"/>
          </w:tcPr>
          <w:p>
            <w:r>
              <w:rPr>
                <w:rFonts w:ascii="Arial" w:hAnsi="Arial"/>
                <w:sz w:val="18"/>
              </w:rPr>
              <w:t>Eazy Recruit (ATS)</w:t>
            </w:r>
          </w:p>
        </w:tc>
        <w:tc>
          <w:tcPr>
            <w:tcW w:type="dxa" w:w="2268"/>
            <w:shd w:val="clear" w:color="auto" w:fill="FFFFFF"/>
          </w:tcPr>
          <w:p>
            <w:r>
              <w:rPr>
                <w:rFonts w:ascii="Arial" w:hAnsi="Arial"/>
                <w:sz w:val="18"/>
              </w:rPr>
              <w:t>Applicant PII</w:t>
            </w:r>
          </w:p>
        </w:tc>
        <w:tc>
          <w:tcPr>
            <w:tcW w:type="dxa" w:w="2268"/>
            <w:shd w:val="clear" w:color="auto" w:fill="FFFFFF"/>
          </w:tcPr>
          <w:p>
            <w:r>
              <w:rPr>
                <w:rFonts w:ascii="Arial" w:hAnsi="Arial"/>
                <w:sz w:val="18"/>
              </w:rPr>
              <w:t>Contract</w:t>
            </w:r>
          </w:p>
        </w:tc>
        <w:tc>
          <w:tcPr>
            <w:tcW w:type="dxa" w:w="2268"/>
            <w:shd w:val="clear" w:color="auto" w:fill="FFFFFF"/>
          </w:tcPr>
          <w:p>
            <w:r>
              <w:rPr>
                <w:rFonts w:ascii="Arial" w:hAnsi="Arial"/>
                <w:sz w:val="18"/>
              </w:rPr>
              <w:t>Data minimisation review required</w:t>
            </w:r>
          </w:p>
        </w:tc>
      </w:tr>
      <w:tr>
        <w:tc>
          <w:tcPr>
            <w:tcW w:type="dxa" w:w="2268"/>
            <w:shd w:val="clear" w:color="auto" w:fill="EBF3FA"/>
          </w:tcPr>
          <w:p>
            <w:r>
              <w:rPr>
                <w:rFonts w:ascii="Arial" w:hAnsi="Arial"/>
                <w:sz w:val="18"/>
              </w:rPr>
              <w:t>Marketing Communications</w:t>
            </w:r>
          </w:p>
        </w:tc>
        <w:tc>
          <w:tcPr>
            <w:tcW w:type="dxa" w:w="2268"/>
            <w:shd w:val="clear" w:color="auto" w:fill="EBF3FA"/>
          </w:tcPr>
          <w:p>
            <w:r>
              <w:rPr>
                <w:rFonts w:ascii="Arial" w:hAnsi="Arial"/>
                <w:sz w:val="18"/>
              </w:rPr>
              <w:t>Contact Information</w:t>
            </w:r>
          </w:p>
        </w:tc>
        <w:tc>
          <w:tcPr>
            <w:tcW w:type="dxa" w:w="2268"/>
            <w:shd w:val="clear" w:color="auto" w:fill="EBF3FA"/>
          </w:tcPr>
          <w:p>
            <w:r>
              <w:rPr>
                <w:rFonts w:ascii="Arial" w:hAnsi="Arial"/>
                <w:sz w:val="18"/>
              </w:rPr>
              <w:t>Consent</w:t>
            </w:r>
          </w:p>
        </w:tc>
        <w:tc>
          <w:tcPr>
            <w:tcW w:type="dxa" w:w="2268"/>
            <w:shd w:val="clear" w:color="auto" w:fill="EBF3FA"/>
          </w:tcPr>
          <w:p>
            <w:r>
              <w:rPr>
                <w:rFonts w:ascii="Arial" w:hAnsi="Arial"/>
                <w:sz w:val="18"/>
              </w:rPr>
              <w:t>Opt-in mechanism required</w:t>
            </w:r>
          </w:p>
        </w:tc>
      </w:tr>
    </w:tbl>
    <w:p>
      <w:r>
        <w:br w:type="page"/>
      </w:r>
    </w:p>
    <w:p>
      <w:pPr>
        <w:pStyle w:val="Heading1"/>
      </w:pPr>
      <w:r>
        <w:rPr>
          <w:rFonts w:ascii="Arial" w:hAnsi="Arial"/>
          <w:color w:val="2C74B5"/>
          <w:sz w:val="26"/>
        </w:rPr>
        <w:t>Document Approval</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C74B5"/>
          </w:tcPr>
          <w:p>
            <w:r>
              <w:rPr>
                <w:rFonts w:ascii="Arial" w:hAnsi="Arial"/>
                <w:b/>
                <w:color w:val="FFFFFF"/>
                <w:sz w:val="18"/>
              </w:rPr>
              <w:t>Role</w:t>
            </w:r>
          </w:p>
        </w:tc>
        <w:tc>
          <w:tcPr>
            <w:tcW w:type="dxa" w:w="3024"/>
            <w:shd w:val="clear" w:color="auto" w:fill="2C74B5"/>
          </w:tcPr>
          <w:p>
            <w:r>
              <w:rPr>
                <w:rFonts w:ascii="Arial" w:hAnsi="Arial"/>
                <w:b/>
                <w:color w:val="FFFFFF"/>
                <w:sz w:val="18"/>
              </w:rPr>
              <w:t>Name</w:t>
            </w:r>
          </w:p>
        </w:tc>
        <w:tc>
          <w:tcPr>
            <w:tcW w:type="dxa" w:w="3024"/>
            <w:shd w:val="clear" w:color="auto" w:fill="2C74B5"/>
          </w:tcPr>
          <w:p>
            <w:r>
              <w:rPr>
                <w:rFonts w:ascii="Arial" w:hAnsi="Arial"/>
                <w:b/>
                <w:color w:val="FFFFFF"/>
                <w:sz w:val="18"/>
              </w:rPr>
              <w:t>Signature &amp; Date</w:t>
            </w:r>
          </w:p>
        </w:tc>
      </w:tr>
      <w:tr>
        <w:tc>
          <w:tcPr>
            <w:tcW w:type="dxa" w:w="3024"/>
          </w:tcPr>
          <w:p>
            <w:r>
              <w:rPr>
                <w:rFonts w:ascii="Arial" w:hAnsi="Arial"/>
                <w:b/>
                <w:sz w:val="18"/>
              </w:rPr>
              <w:t>Data Protection Officer</w:t>
            </w:r>
          </w:p>
        </w:tc>
        <w:tc>
          <w:tcPr>
            <w:tcW w:type="dxa" w:w="3024"/>
          </w:tcPr>
          <w:p>
            <w:r>
              <w:rPr>
                <w:rFonts w:ascii="Arial" w:hAnsi="Arial"/>
                <w:sz w:val="18"/>
              </w:rPr>
              <w:t>Vivian Tsongorera</w:t>
            </w:r>
          </w:p>
        </w:tc>
        <w:tc>
          <w:tcPr>
            <w:tcW w:type="dxa" w:w="3024"/>
          </w:tcPr>
          <w:p>
            <w:r>
              <w:rPr>
                <w:rFonts w:ascii="Arial" w:hAnsi="Arial"/>
                <w:sz w:val="18"/>
              </w:rPr>
            </w:r>
          </w:p>
        </w:tc>
      </w:tr>
      <w:tr>
        <w:tc>
          <w:tcPr>
            <w:tcW w:type="dxa" w:w="3024"/>
            <w:shd w:val="clear" w:color="auto" w:fill="EBF3FA"/>
          </w:tcPr>
          <w:p>
            <w:r>
              <w:rPr>
                <w:rFonts w:ascii="Arial" w:hAnsi="Arial"/>
                <w:b/>
                <w:sz w:val="18"/>
              </w:rPr>
              <w:t>Chief Corporate Services Officer</w:t>
            </w:r>
          </w:p>
        </w:tc>
        <w:tc>
          <w:tcPr>
            <w:tcW w:type="dxa" w:w="3024"/>
            <w:shd w:val="clear" w:color="auto" w:fill="EBF3FA"/>
          </w:tcPr>
          <w:p>
            <w:r>
              <w:rPr>
                <w:rFonts w:ascii="Arial" w:hAnsi="Arial"/>
                <w:sz w:val="18"/>
              </w:rPr>
              <w:t>Theresa Nyemba</w:t>
            </w:r>
          </w:p>
        </w:tc>
        <w:tc>
          <w:tcPr>
            <w:tcW w:type="dxa" w:w="3024"/>
            <w:shd w:val="clear" w:color="auto" w:fill="EBF3FA"/>
          </w:tcPr>
          <w:p>
            <w:r>
              <w:rPr>
                <w:rFonts w:ascii="Arial" w:hAnsi="Arial"/>
                <w:sz w:val="18"/>
              </w:rPr>
            </w:r>
          </w:p>
        </w:tc>
      </w:tr>
      <w:tr>
        <w:tc>
          <w:tcPr>
            <w:tcW w:type="dxa" w:w="3024"/>
          </w:tcPr>
          <w:p>
            <w:r>
              <w:rPr>
                <w:rFonts w:ascii="Arial" w:hAnsi="Arial"/>
                <w:b/>
                <w:sz w:val="18"/>
              </w:rPr>
              <w:t>Document Controller / DPO</w:t>
            </w:r>
          </w:p>
        </w:tc>
        <w:tc>
          <w:tcPr>
            <w:tcW w:type="dxa" w:w="3024"/>
          </w:tcPr>
          <w:p>
            <w:r>
              <w:rPr>
                <w:rFonts w:ascii="Arial" w:hAnsi="Arial"/>
                <w:sz w:val="18"/>
              </w:rPr>
              <w:t>Vivian Tsongorera</w:t>
            </w:r>
          </w:p>
        </w:tc>
        <w:tc>
          <w:tcPr>
            <w:tcW w:type="dxa" w:w="3024"/>
          </w:tcPr>
          <w:p>
            <w:r>
              <w:rPr>
                <w:rFonts w:ascii="Arial" w:hAnsi="Arial"/>
                <w:sz w:val="18"/>
              </w:rPr>
            </w:r>
          </w:p>
        </w:tc>
      </w:tr>
    </w:tbl>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6"/>
      <w:gridCol w:w="4536"/>
    </w:tblGrid>
    <w:tr>
      <w:tc>
        <w:tcPr>
          <w:tcW w:type="dxa" w:w="4536"/>
          <w:tcBorders>
            <w:top w:val="none"/>
            <w:left w:val="none"/>
            <w:bottom w:val="none"/>
            <w:right w:val="none"/>
          </w:tcBorders>
        </w:tcPr>
        <w:p>
          <w:r>
            <w:rPr>
              <w:rFonts w:ascii="Arial" w:hAnsi="Arial"/>
              <w:color w:val="404040"/>
              <w:sz w:val="16"/>
            </w:rPr>
            <w:t>OmniContact BPO Services | Company Confidential</w:t>
          </w:r>
        </w:p>
      </w:tc>
      <w:tc>
        <w:tcPr>
          <w:tcW w:type="dxa" w:w="4536"/>
          <w:tcBorders>
            <w:top w:val="none"/>
            <w:left w:val="none"/>
            <w:bottom w:val="none"/>
            <w:right w:val="none"/>
          </w:tcBorders>
        </w:tcPr>
        <w:p>
          <w:pPr>
            <w:jc w:val="right"/>
          </w:pPr>
          <w:r>
            <w:rPr>
              <w:rFonts w:ascii="Arial" w:hAnsi="Arial"/>
              <w:color w:val="404040"/>
              <w:sz w:val="16"/>
            </w:rPr>
            <w:t xml:space="preserve">Page </w:t>
          </w:r>
          <w:r>
            <w:rPr>
              <w:rFonts w:ascii="Arial"/>
              <w:sz w:val="16"/>
            </w:rPr>
            <w:fldChar w:fldCharType="begin"/>
          </w:r>
          <w:r>
            <w:instrText>PAGE</w:instrTex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536"/>
      <w:gridCol w:w="4536"/>
    </w:tblGrid>
    <w:tr>
      <w:tc>
        <w:tcPr>
          <w:tcW w:type="dxa" w:w="4536"/>
          <w:tcBorders>
            <w:top w:val="none"/>
            <w:left w:val="none"/>
            <w:bottom w:val="none"/>
            <w:right w:val="none"/>
          </w:tcBorders>
        </w:tcPr>
        <w:p>
          <w:r>
            <w:drawing>
              <wp:inline xmlns:a="http://schemas.openxmlformats.org/drawingml/2006/main" xmlns:pic="http://schemas.openxmlformats.org/drawingml/2006/picture">
                <wp:extent cx="1371600" cy="625876"/>
                <wp:docPr id="1" name="Picture 1"/>
                <wp:cNvGraphicFramePr>
                  <a:graphicFrameLocks noChangeAspect="1"/>
                </wp:cNvGraphicFramePr>
                <a:graphic>
                  <a:graphicData uri="http://schemas.openxmlformats.org/drawingml/2006/picture">
                    <pic:pic>
                      <pic:nvPicPr>
                        <pic:cNvPr id="0" name="omni_logo.jpeg"/>
                        <pic:cNvPicPr/>
                      </pic:nvPicPr>
                      <pic:blipFill>
                        <a:blip r:embed="rId1"/>
                        <a:stretch>
                          <a:fillRect/>
                        </a:stretch>
                      </pic:blipFill>
                      <pic:spPr>
                        <a:xfrm>
                          <a:off x="0" y="0"/>
                          <a:ext cx="1371600" cy="625876"/>
                        </a:xfrm>
                        <a:prstGeom prst="rect"/>
                      </pic:spPr>
                    </pic:pic>
                  </a:graphicData>
                </a:graphic>
              </wp:inline>
            </w:drawing>
          </w:r>
        </w:p>
      </w:tc>
      <w:tc>
        <w:tcPr>
          <w:tcW w:type="dxa" w:w="4536"/>
          <w:tcBorders>
            <w:top w:val="none"/>
            <w:left w:val="none"/>
            <w:bottom w:val="none"/>
            <w:right w:val="none"/>
          </w:tcBorders>
        </w:tcPr>
        <w:p>
          <w:pPr>
            <w:jc w:val="right"/>
          </w:pPr>
          <w:r>
            <w:rPr>
              <w:rFonts w:ascii="Arial" w:hAnsi="Arial"/>
              <w:color w:val="404040"/>
              <w:sz w:val="16"/>
            </w:rPr>
            <w:t>CDPA-OMNI-P001</w:t>
            <w:br/>
            <w:t>Version 1.0 | 24 March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