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5067" w14:textId="62A60E02" w:rsidR="00FA6DE4" w:rsidRDefault="00000000" w:rsidP="00035FF5">
      <w:pPr>
        <w:autoSpaceDE w:val="0"/>
        <w:autoSpaceDN w:val="0"/>
        <w:spacing w:after="0" w:line="44" w:lineRule="exact"/>
      </w:pPr>
      <w:r>
        <w:rPr>
          <w:noProof/>
        </w:rPr>
        <w:drawing>
          <wp:anchor distT="0" distB="0" distL="0" distR="0" simplePos="0" relativeHeight="251658240" behindDoc="1" locked="0" layoutInCell="1" allowOverlap="1" wp14:anchorId="177442B6" wp14:editId="62300DBE">
            <wp:simplePos x="0" y="0"/>
            <wp:positionH relativeFrom="page">
              <wp:posOffset>317500</wp:posOffset>
            </wp:positionH>
            <wp:positionV relativeFrom="page">
              <wp:posOffset>63500</wp:posOffset>
            </wp:positionV>
            <wp:extent cx="812800" cy="165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812800" cy="165100"/>
                    </a:xfrm>
                    <a:prstGeom prst="rect">
                      <a:avLst/>
                    </a:prstGeom>
                  </pic:spPr>
                </pic:pic>
              </a:graphicData>
            </a:graphic>
          </wp:anchor>
        </w:drawing>
      </w:r>
      <w:r>
        <w:rPr>
          <w:noProof/>
        </w:rPr>
        <w:drawing>
          <wp:anchor distT="0" distB="0" distL="0" distR="0" simplePos="0" relativeHeight="251659264" behindDoc="1" locked="0" layoutInCell="1" allowOverlap="1" wp14:anchorId="688C12C1" wp14:editId="60B8630F">
            <wp:simplePos x="0" y="0"/>
            <wp:positionH relativeFrom="page">
              <wp:posOffset>317500</wp:posOffset>
            </wp:positionH>
            <wp:positionV relativeFrom="page">
              <wp:posOffset>63500</wp:posOffset>
            </wp:positionV>
            <wp:extent cx="812800" cy="1604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812800" cy="160421"/>
                    </a:xfrm>
                    <a:prstGeom prst="rect">
                      <a:avLst/>
                    </a:prstGeom>
                  </pic:spPr>
                </pic:pic>
              </a:graphicData>
            </a:graphic>
          </wp:anchor>
        </w:drawing>
      </w:r>
      <w:r>
        <w:rPr>
          <w:rFonts w:ascii="TimesNewRomanPS" w:eastAsia="TimesNewRomanPS" w:hAnsi="TimesNewRomanPS"/>
          <w:b/>
          <w:color w:val="FFFFFF"/>
          <w:sz w:val="19"/>
        </w:rPr>
        <w:t>952</w:t>
      </w:r>
      <w:hyperlink r:id="rId8" w:history="1">
        <w:r>
          <w:rPr>
            <w:rFonts w:ascii="TimesNewRomanPS" w:eastAsia="TimesNewRomanPS" w:hAnsi="TimesNewRomanPS"/>
            <w:b/>
            <w:color w:val="FFFFFF"/>
            <w:sz w:val="19"/>
          </w:rPr>
          <w:t>526</w:t>
        </w:r>
      </w:hyperlink>
      <w:hyperlink r:id="rId9" w:history="1">
        <w:r>
          <w:rPr>
            <w:rFonts w:ascii="GillSansMTPro" w:eastAsia="GillSansMTPro" w:hAnsi="GillSansMTPro"/>
            <w:color w:val="FFFFFF"/>
            <w:sz w:val="2"/>
          </w:rPr>
          <w:t xml:space="preserve"> TCN</w:t>
        </w:r>
      </w:hyperlink>
      <w:hyperlink r:id="rId10" w:history="1">
        <w:r>
          <w:rPr>
            <w:rFonts w:ascii="TimesNewRomanPSMT" w:eastAsia="TimesNewRomanPSMT" w:hAnsi="TimesNewRomanPSMT"/>
            <w:color w:val="FFFFFF"/>
            <w:sz w:val="2"/>
          </w:rPr>
          <w:t>XXX10.1177/1043659620952526Journal of Transcultural Nursing</w:t>
        </w:r>
      </w:hyperlink>
      <w:hyperlink r:id="rId11" w:history="1">
        <w:r>
          <w:rPr>
            <w:rFonts w:ascii="GillSansMTPro" w:eastAsia="GillSansMTPro" w:hAnsi="GillSansMTPro"/>
            <w:b/>
            <w:color w:val="FFFFFF"/>
            <w:sz w:val="2"/>
          </w:rPr>
          <w:t>Wang et al.</w:t>
        </w:r>
      </w:hyperlink>
    </w:p>
    <w:p w14:paraId="315E720F" w14:textId="77777777" w:rsidR="00FA6DE4" w:rsidRDefault="00000000">
      <w:pPr>
        <w:autoSpaceDE w:val="0"/>
        <w:autoSpaceDN w:val="0"/>
        <w:spacing w:before="378" w:after="92" w:line="232" w:lineRule="exact"/>
        <w:ind w:left="1092"/>
      </w:pPr>
      <w:r>
        <w:rPr>
          <w:rFonts w:ascii="GillSansMTPro" w:eastAsia="GillSansMTPro" w:hAnsi="GillSansMTPro"/>
          <w:i/>
          <w:color w:val="221F1F"/>
          <w:sz w:val="20"/>
        </w:rPr>
        <w:t>Research</w:t>
      </w:r>
    </w:p>
    <w:tbl>
      <w:tblPr>
        <w:tblW w:w="0" w:type="auto"/>
        <w:tblInd w:w="1088" w:type="dxa"/>
        <w:tblLayout w:type="fixed"/>
        <w:tblLook w:val="04A0" w:firstRow="1" w:lastRow="0" w:firstColumn="1" w:lastColumn="0" w:noHBand="0" w:noVBand="1"/>
      </w:tblPr>
      <w:tblGrid>
        <w:gridCol w:w="7244"/>
        <w:gridCol w:w="2784"/>
      </w:tblGrid>
      <w:tr w:rsidR="00FA6DE4" w14:paraId="210D2705" w14:textId="77777777">
        <w:trPr>
          <w:trHeight w:hRule="exact" w:val="3374"/>
        </w:trPr>
        <w:tc>
          <w:tcPr>
            <w:tcW w:w="7244" w:type="dxa"/>
            <w:tcBorders>
              <w:top w:val="single" w:sz="4" w:space="0" w:color="221F1F"/>
            </w:tcBorders>
            <w:tcMar>
              <w:left w:w="0" w:type="dxa"/>
              <w:right w:w="0" w:type="dxa"/>
            </w:tcMar>
          </w:tcPr>
          <w:p w14:paraId="0F4A7FD8" w14:textId="77777777" w:rsidR="00FA6DE4" w:rsidRDefault="00000000">
            <w:pPr>
              <w:autoSpaceDE w:val="0"/>
              <w:autoSpaceDN w:val="0"/>
              <w:spacing w:before="296" w:after="0" w:line="400" w:lineRule="exact"/>
              <w:ind w:left="4" w:right="720"/>
            </w:pPr>
            <w:r>
              <w:rPr>
                <w:rFonts w:ascii="GillSansMTPro" w:eastAsia="GillSansMTPro" w:hAnsi="GillSansMTPro"/>
                <w:b/>
                <w:color w:val="221F1F"/>
                <w:sz w:val="36"/>
              </w:rPr>
              <w:t>Enrollment Challenges: Recruiting Children From Diverse Racial and Ethnic Communities to a Study of Physical Activity and Perceived Stress</w:t>
            </w:r>
          </w:p>
          <w:p w14:paraId="38174581" w14:textId="77777777" w:rsidR="00FA6DE4" w:rsidRDefault="00000000">
            <w:pPr>
              <w:autoSpaceDE w:val="0"/>
              <w:autoSpaceDN w:val="0"/>
              <w:spacing w:before="560" w:after="0" w:line="240" w:lineRule="auto"/>
              <w:ind w:left="4"/>
            </w:pPr>
            <w:r>
              <w:rPr>
                <w:rFonts w:ascii="GillSansMTPro" w:eastAsia="GillSansMTPro" w:hAnsi="GillSansMTPro"/>
                <w:b/>
                <w:color w:val="221F1F"/>
                <w:sz w:val="24"/>
              </w:rPr>
              <w:t>Ya-Fen Wang, PhD, RN</w:t>
            </w:r>
            <w:r>
              <w:rPr>
                <w:rFonts w:ascii="GillSansMTPro" w:eastAsia="GillSansMTPro" w:hAnsi="GillSansMTPro"/>
                <w:b/>
                <w:color w:val="221F1F"/>
                <w:w w:val="97"/>
                <w:sz w:val="16"/>
              </w:rPr>
              <w:t xml:space="preserve">1 </w:t>
            </w:r>
            <w:r>
              <w:rPr>
                <w:noProof/>
              </w:rPr>
              <w:drawing>
                <wp:inline distT="0" distB="0" distL="0" distR="0" wp14:anchorId="1CBD1456" wp14:editId="1CC1F193">
                  <wp:extent cx="165100" cy="16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165100" cy="165100"/>
                          </a:xfrm>
                          <a:prstGeom prst="rect">
                            <a:avLst/>
                          </a:prstGeom>
                        </pic:spPr>
                      </pic:pic>
                    </a:graphicData>
                  </a:graphic>
                </wp:inline>
              </w:drawing>
            </w:r>
            <w:r>
              <w:rPr>
                <w:rFonts w:ascii="GillSansMTPro" w:eastAsia="GillSansMTPro" w:hAnsi="GillSansMTPro"/>
                <w:b/>
                <w:color w:val="221F1F"/>
                <w:sz w:val="24"/>
              </w:rPr>
              <w:t>, Soon Young Ha, PhD, RN</w:t>
            </w:r>
            <w:r>
              <w:rPr>
                <w:rFonts w:ascii="GillSansMTPro" w:eastAsia="GillSansMTPro" w:hAnsi="GillSansMTPro"/>
                <w:b/>
                <w:color w:val="221F1F"/>
                <w:w w:val="97"/>
                <w:sz w:val="16"/>
              </w:rPr>
              <w:t>2</w:t>
            </w:r>
            <w:r>
              <w:rPr>
                <w:rFonts w:ascii="GillSansMTPro" w:eastAsia="GillSansMTPro" w:hAnsi="GillSansMTPro"/>
                <w:b/>
                <w:color w:val="221F1F"/>
                <w:sz w:val="24"/>
              </w:rPr>
              <w:t xml:space="preserve">, </w:t>
            </w:r>
          </w:p>
          <w:p w14:paraId="6FD23D01" w14:textId="77777777" w:rsidR="00FA6DE4" w:rsidRDefault="00000000">
            <w:pPr>
              <w:autoSpaceDE w:val="0"/>
              <w:autoSpaceDN w:val="0"/>
              <w:spacing w:after="0" w:line="292" w:lineRule="exact"/>
              <w:ind w:left="4"/>
            </w:pPr>
            <w:r>
              <w:rPr>
                <w:rFonts w:ascii="GillSansMTPro" w:eastAsia="GillSansMTPro" w:hAnsi="GillSansMTPro"/>
                <w:b/>
                <w:color w:val="221F1F"/>
                <w:sz w:val="24"/>
              </w:rPr>
              <w:t>Trevor Watkins, MS, MCIS, MLIS</w:t>
            </w:r>
            <w:r>
              <w:rPr>
                <w:rFonts w:ascii="GillSansMTPro" w:eastAsia="GillSansMTPro" w:hAnsi="GillSansMTPro"/>
                <w:b/>
                <w:color w:val="221F1F"/>
                <w:w w:val="97"/>
                <w:sz w:val="16"/>
              </w:rPr>
              <w:t>3</w:t>
            </w:r>
            <w:r>
              <w:rPr>
                <w:rFonts w:ascii="GillSansMTPro" w:eastAsia="GillSansMTPro" w:hAnsi="GillSansMTPro"/>
                <w:b/>
                <w:color w:val="221F1F"/>
                <w:sz w:val="24"/>
              </w:rPr>
              <w:t>, Koon Hwee Kan, EdD</w:t>
            </w:r>
            <w:r>
              <w:rPr>
                <w:rFonts w:ascii="GillSansMTPro" w:eastAsia="GillSansMTPro" w:hAnsi="GillSansMTPro"/>
                <w:b/>
                <w:color w:val="221F1F"/>
                <w:w w:val="97"/>
                <w:sz w:val="16"/>
              </w:rPr>
              <w:t>1</w:t>
            </w:r>
            <w:r>
              <w:rPr>
                <w:rFonts w:ascii="GillSansMTPro" w:eastAsia="GillSansMTPro" w:hAnsi="GillSansMTPro"/>
                <w:b/>
                <w:color w:val="221F1F"/>
                <w:sz w:val="24"/>
              </w:rPr>
              <w:t xml:space="preserve">, </w:t>
            </w:r>
          </w:p>
          <w:p w14:paraId="6F7B32B7" w14:textId="77777777" w:rsidR="00FA6DE4" w:rsidRDefault="00000000">
            <w:pPr>
              <w:autoSpaceDE w:val="0"/>
              <w:autoSpaceDN w:val="0"/>
              <w:spacing w:after="0" w:line="292" w:lineRule="exact"/>
              <w:ind w:left="4"/>
            </w:pPr>
            <w:r>
              <w:rPr>
                <w:rFonts w:ascii="GillSansMTPro" w:eastAsia="GillSansMTPro" w:hAnsi="GillSansMTPro"/>
                <w:b/>
                <w:color w:val="221F1F"/>
                <w:sz w:val="24"/>
              </w:rPr>
              <w:t>and Jaclene A. Zauszniewski, PhD, RN-BC, FAAN</w:t>
            </w:r>
            <w:r>
              <w:rPr>
                <w:rFonts w:ascii="GillSansMTPro" w:eastAsia="GillSansMTPro" w:hAnsi="GillSansMTPro"/>
                <w:b/>
                <w:color w:val="221F1F"/>
                <w:w w:val="97"/>
                <w:sz w:val="16"/>
              </w:rPr>
              <w:t>4</w:t>
            </w:r>
          </w:p>
        </w:tc>
        <w:tc>
          <w:tcPr>
            <w:tcW w:w="2784" w:type="dxa"/>
            <w:tcBorders>
              <w:top w:val="single" w:sz="4" w:space="0" w:color="221F1F"/>
            </w:tcBorders>
            <w:tcMar>
              <w:left w:w="0" w:type="dxa"/>
              <w:right w:w="0" w:type="dxa"/>
            </w:tcMar>
          </w:tcPr>
          <w:p w14:paraId="64559149" w14:textId="77777777" w:rsidR="00FA6DE4" w:rsidRDefault="00000000">
            <w:pPr>
              <w:autoSpaceDE w:val="0"/>
              <w:autoSpaceDN w:val="0"/>
              <w:spacing w:before="122" w:after="0" w:line="170" w:lineRule="exact"/>
              <w:ind w:left="620" w:right="144"/>
            </w:pPr>
            <w:r>
              <w:rPr>
                <w:rFonts w:ascii="GillSansMTPro" w:eastAsia="GillSansMTPro" w:hAnsi="GillSansMTPro"/>
                <w:color w:val="221F1F"/>
                <w:sz w:val="14"/>
              </w:rPr>
              <w:t>Journal of Transcultural Nursing 1 –8</w:t>
            </w:r>
            <w:r>
              <w:br/>
            </w:r>
            <w:r>
              <w:rPr>
                <w:rFonts w:ascii="GillSansMTPro" w:eastAsia="GillSansMTPro" w:hAnsi="GillSansMTPro"/>
                <w:color w:val="221F1F"/>
                <w:sz w:val="14"/>
              </w:rPr>
              <w:t xml:space="preserve">© The Author(s) 2020 </w:t>
            </w:r>
            <w:r>
              <w:br/>
            </w:r>
            <w:r>
              <w:rPr>
                <w:rFonts w:ascii="GillSansMTPro" w:eastAsia="GillSansMTPro" w:hAnsi="GillSansMTPro"/>
                <w:color w:val="221F1F"/>
                <w:sz w:val="14"/>
              </w:rPr>
              <w:t xml:space="preserve">Article reuse guidelines: </w:t>
            </w:r>
            <w:r>
              <w:br/>
            </w:r>
            <w:hyperlink r:id="rId13" w:history="1">
              <w:r>
                <w:rPr>
                  <w:rFonts w:ascii="GillSansMTPro" w:eastAsia="GillSansMTPro" w:hAnsi="GillSansMTPro"/>
                  <w:color w:val="221F1F"/>
                  <w:sz w:val="14"/>
                </w:rPr>
                <w:t xml:space="preserve">sagepub.com/journals-permissions </w:t>
              </w:r>
            </w:hyperlink>
            <w:r>
              <w:rPr>
                <w:rFonts w:ascii="GillSansMTPro" w:eastAsia="GillSansMTPro" w:hAnsi="GillSansMTPro"/>
                <w:color w:val="221F1F"/>
                <w:sz w:val="14"/>
              </w:rPr>
              <w:t xml:space="preserve">DOI: 10.1177/1043659620952526 </w:t>
            </w:r>
            <w:hyperlink r:id="rId14" w:history="1">
              <w:r>
                <w:rPr>
                  <w:rFonts w:ascii="GillSansMTPro" w:eastAsia="GillSansMTPro" w:hAnsi="GillSansMTPro"/>
                  <w:color w:val="221F1F"/>
                  <w:sz w:val="14"/>
                </w:rPr>
                <w:t>journals.sagepub.com/home/tcn</w:t>
              </w:r>
            </w:hyperlink>
          </w:p>
          <w:p w14:paraId="41B392A2" w14:textId="77777777" w:rsidR="00FA6DE4" w:rsidRDefault="00000000">
            <w:pPr>
              <w:autoSpaceDE w:val="0"/>
              <w:autoSpaceDN w:val="0"/>
              <w:spacing w:before="32" w:after="0" w:line="240" w:lineRule="auto"/>
              <w:ind w:left="620"/>
            </w:pPr>
            <w:r>
              <w:rPr>
                <w:noProof/>
              </w:rPr>
              <w:drawing>
                <wp:inline distT="0" distB="0" distL="0" distR="0" wp14:anchorId="575D4F12" wp14:editId="31AF47FF">
                  <wp:extent cx="4953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495300" cy="152400"/>
                          </a:xfrm>
                          <a:prstGeom prst="rect">
                            <a:avLst/>
                          </a:prstGeom>
                        </pic:spPr>
                      </pic:pic>
                    </a:graphicData>
                  </a:graphic>
                </wp:inline>
              </w:drawing>
            </w:r>
          </w:p>
        </w:tc>
      </w:tr>
    </w:tbl>
    <w:p w14:paraId="109EC050" w14:textId="77777777" w:rsidR="00FA6DE4" w:rsidRDefault="00000000">
      <w:pPr>
        <w:autoSpaceDE w:val="0"/>
        <w:autoSpaceDN w:val="0"/>
        <w:spacing w:before="526" w:after="0" w:line="240" w:lineRule="exact"/>
        <w:ind w:left="1092"/>
      </w:pPr>
      <w:r>
        <w:rPr>
          <w:rFonts w:ascii="GillSansMTPro" w:eastAsia="GillSansMTPro" w:hAnsi="GillSansMTPro"/>
          <w:b/>
          <w:color w:val="221F1F"/>
          <w:sz w:val="20"/>
        </w:rPr>
        <w:t xml:space="preserve">Abstract </w:t>
      </w:r>
      <w:r>
        <w:br/>
      </w:r>
      <w:r>
        <w:rPr>
          <w:rFonts w:ascii="GillSansMTPro" w:eastAsia="GillSansMTPro" w:hAnsi="GillSansMTPro"/>
          <w:b/>
          <w:color w:val="221F1F"/>
          <w:sz w:val="20"/>
        </w:rPr>
        <w:t>Introduction:</w:t>
      </w:r>
      <w:r>
        <w:rPr>
          <w:rFonts w:ascii="GillSansMTPro" w:eastAsia="GillSansMTPro" w:hAnsi="GillSansMTPro"/>
          <w:color w:val="221F1F"/>
          <w:sz w:val="20"/>
        </w:rPr>
        <w:t xml:space="preserve"> Effective recruitment and retention can be particularly difficult when research involves children from diverse backgrounds. The purpose of this article is to describe productive methods for recruiting children from diverse racial and ethnic communities. A better understanding of this process will help researchers improve recruitment efforts and better address health disparities. </w:t>
      </w:r>
      <w:r>
        <w:rPr>
          <w:rFonts w:ascii="GillSansMTPro" w:eastAsia="GillSansMTPro" w:hAnsi="GillSansMTPro"/>
          <w:b/>
          <w:color w:val="221F1F"/>
          <w:sz w:val="20"/>
        </w:rPr>
        <w:t>Method:</w:t>
      </w:r>
      <w:r>
        <w:rPr>
          <w:rFonts w:ascii="GillSansMTPro" w:eastAsia="GillSansMTPro" w:hAnsi="GillSansMTPro"/>
          <w:color w:val="221F1F"/>
          <w:sz w:val="20"/>
        </w:rPr>
        <w:t xml:space="preserve"> Using data retrieved from a cross-sectional study examining children’s physical activity and stress, strategies and efforts for recruitment and retention were recognized and identified. </w:t>
      </w:r>
      <w:r>
        <w:rPr>
          <w:rFonts w:ascii="GillSansMTPro" w:eastAsia="GillSansMTPro" w:hAnsi="GillSansMTPro"/>
          <w:b/>
          <w:color w:val="221F1F"/>
          <w:sz w:val="20"/>
        </w:rPr>
        <w:t>Results:</w:t>
      </w:r>
      <w:r>
        <w:rPr>
          <w:rFonts w:ascii="GillSansMTPro" w:eastAsia="GillSansMTPro" w:hAnsi="GillSansMTPro"/>
          <w:color w:val="221F1F"/>
          <w:sz w:val="20"/>
        </w:rPr>
        <w:t xml:space="preserve"> During a 5-month recruitment period, 92 potential participants contacted research staff after multiple strategies were executed. Among them, 83.7% were successfully recruited, and 93.5% completed the study; additionally, 54% were White and about 30% Hispanic. Although initial recruitment plans were school based, the majority were recruited by referrals from current participants. </w:t>
      </w:r>
      <w:r>
        <w:rPr>
          <w:rFonts w:ascii="GillSansMTPro" w:eastAsia="GillSansMTPro" w:hAnsi="GillSansMTPro"/>
          <w:b/>
          <w:color w:val="221F1F"/>
          <w:sz w:val="20"/>
        </w:rPr>
        <w:t>Discussion:</w:t>
      </w:r>
      <w:r>
        <w:rPr>
          <w:rFonts w:ascii="GillSansMTPro" w:eastAsia="GillSansMTPro" w:hAnsi="GillSansMTPro"/>
          <w:color w:val="221F1F"/>
          <w:sz w:val="20"/>
        </w:rPr>
        <w:t xml:space="preserve"> Productive strategies varied by race, ethnic, and cultural backgrounds. Proactive strategies and limitations, such as the use of a smartphone or Quick Response code, are discussed.</w:t>
      </w:r>
    </w:p>
    <w:p w14:paraId="35447A34" w14:textId="77777777" w:rsidR="00FA6DE4" w:rsidRDefault="00000000">
      <w:pPr>
        <w:autoSpaceDE w:val="0"/>
        <w:autoSpaceDN w:val="0"/>
        <w:spacing w:before="244" w:after="462" w:line="238" w:lineRule="exact"/>
        <w:ind w:left="1092" w:right="4176"/>
      </w:pPr>
      <w:r>
        <w:rPr>
          <w:rFonts w:ascii="GillSansMTPro" w:eastAsia="GillSansMTPro" w:hAnsi="GillSansMTPro"/>
          <w:b/>
          <w:color w:val="221F1F"/>
          <w:sz w:val="20"/>
        </w:rPr>
        <w:t xml:space="preserve">Keywords </w:t>
      </w:r>
      <w:r>
        <w:br/>
      </w:r>
      <w:r>
        <w:rPr>
          <w:rFonts w:ascii="GillSansMTPro" w:eastAsia="GillSansMTPro" w:hAnsi="GillSansMTPro"/>
          <w:color w:val="221F1F"/>
          <w:sz w:val="20"/>
        </w:rPr>
        <w:t>children, recruitment, retention, underrepresented minority populations</w:t>
      </w:r>
    </w:p>
    <w:p w14:paraId="1F10FF20" w14:textId="77777777" w:rsidR="00FA6DE4" w:rsidRDefault="00FA6DE4">
      <w:pPr>
        <w:sectPr w:rsidR="00FA6DE4">
          <w:pgSz w:w="12240" w:h="15840"/>
          <w:pgMar w:top="56" w:right="884" w:bottom="584" w:left="168" w:header="720" w:footer="720" w:gutter="0"/>
          <w:cols w:space="720" w:equalWidth="0">
            <w:col w:w="11188" w:space="0"/>
          </w:cols>
          <w:docGrid w:linePitch="360"/>
        </w:sectPr>
      </w:pPr>
    </w:p>
    <w:p w14:paraId="6A18271E" w14:textId="77777777" w:rsidR="00FA6DE4" w:rsidRDefault="00000000">
      <w:pPr>
        <w:autoSpaceDE w:val="0"/>
        <w:autoSpaceDN w:val="0"/>
        <w:spacing w:after="0" w:line="288" w:lineRule="exact"/>
        <w:ind w:left="1092"/>
      </w:pPr>
      <w:r>
        <w:rPr>
          <w:rFonts w:ascii="GillSansMTPro" w:eastAsia="GillSansMTPro" w:hAnsi="GillSansMTPro"/>
          <w:b/>
          <w:color w:val="221F1F"/>
          <w:sz w:val="24"/>
        </w:rPr>
        <w:t>Introduction</w:t>
      </w:r>
    </w:p>
    <w:p w14:paraId="3BA1A874" w14:textId="77777777" w:rsidR="00FA6DE4" w:rsidRDefault="00000000">
      <w:pPr>
        <w:autoSpaceDE w:val="0"/>
        <w:autoSpaceDN w:val="0"/>
        <w:spacing w:before="104" w:after="0" w:line="240" w:lineRule="exact"/>
        <w:ind w:left="1008" w:right="144"/>
        <w:jc w:val="center"/>
      </w:pPr>
      <w:r>
        <w:rPr>
          <w:rFonts w:ascii="TimesNewRomanPSMT" w:eastAsia="TimesNewRomanPSMT" w:hAnsi="TimesNewRomanPSMT"/>
          <w:color w:val="221F1F"/>
          <w:sz w:val="20"/>
        </w:rPr>
        <w:t xml:space="preserve">As indicated in the </w:t>
      </w:r>
      <w:r>
        <w:rPr>
          <w:rFonts w:ascii="TimesNewRomanPS" w:eastAsia="TimesNewRomanPS" w:hAnsi="TimesNewRomanPS"/>
          <w:i/>
          <w:color w:val="221F1F"/>
          <w:sz w:val="20"/>
        </w:rPr>
        <w:t>Healthy People 2030</w:t>
      </w:r>
      <w:r>
        <w:rPr>
          <w:rFonts w:ascii="TimesNewRomanPSMT" w:eastAsia="TimesNewRomanPSMT" w:hAnsi="TimesNewRomanPSMT"/>
          <w:color w:val="221F1F"/>
          <w:sz w:val="20"/>
        </w:rPr>
        <w:t xml:space="preserve"> framework (Office of Disease Prevention and Health Promotion, 2020), one of the foundational principles and overarching goals is to eliminate health disparities. One promising way to achieve this goal is to engage culturally diverse racial and ethnic populations in research studies. The need to increase minority participation in health research, including groups underrepresented in terms of race, ethnicity, culture, and socioeconomic status (SES), is multifaceted and scientifically driven. As the demographic composition of the United States becomes more diverse (Colby &amp; Ortman, 2017), adequate minority representation is needed to ensure that research findings are applicable to various populations. The National Institutes of Health (NIH) has made statements emphasizing the scientific and ethical obligation to include minority participants in research studies (NIH, 2017). However, improving research participation among diverse groups, particularly vulnerable populations that include children, continues to be a challenge. The most commonly parent-reported reasons for enrollment refusal or study drop out were busyness, lack of interest in the research project, or unpredictable incidents (Karlson &amp; Rapoff, 2009; Lamb et al., 2001). Making additional efforts and using vari-ous resources, such as incorporating technology, smartphones, </w:t>
      </w:r>
    </w:p>
    <w:p w14:paraId="43C83BF6" w14:textId="77777777" w:rsidR="00FA6DE4" w:rsidRDefault="00FA6DE4">
      <w:pPr>
        <w:sectPr w:rsidR="00FA6DE4">
          <w:type w:val="continuous"/>
          <w:pgSz w:w="12240" w:h="15840"/>
          <w:pgMar w:top="56" w:right="884" w:bottom="584" w:left="168" w:header="720" w:footer="720" w:gutter="0"/>
          <w:cols w:num="2" w:space="720" w:equalWidth="0">
            <w:col w:w="6126" w:space="0"/>
            <w:col w:w="5061" w:space="0"/>
          </w:cols>
          <w:docGrid w:linePitch="360"/>
        </w:sectPr>
      </w:pPr>
    </w:p>
    <w:p w14:paraId="73B133B1" w14:textId="77777777" w:rsidR="00FA6DE4" w:rsidRDefault="00000000">
      <w:pPr>
        <w:autoSpaceDE w:val="0"/>
        <w:autoSpaceDN w:val="0"/>
        <w:spacing w:after="0" w:line="238" w:lineRule="exact"/>
        <w:ind w:left="156"/>
      </w:pPr>
      <w:r>
        <w:rPr>
          <w:rFonts w:ascii="TimesNewRomanPSMT" w:eastAsia="TimesNewRomanPSMT" w:hAnsi="TimesNewRomanPSMT"/>
          <w:color w:val="221F1F"/>
          <w:sz w:val="20"/>
        </w:rPr>
        <w:t>or a Quick Response (QR) code, may improve recruitment and retention efforts, allowing researchers to reach sample sizes representative of the target population and conduct appropri-ate statistical analyses within shorter periods of time. Children are a common target group for health–behavioral studies seek-ing to improve care of pediatric populations and decrease health disparities. These goals may only be achieved with intentional and strategic efforts to engage diverse communi-ties in research.</w:t>
      </w:r>
    </w:p>
    <w:p w14:paraId="7018F9A5" w14:textId="77777777" w:rsidR="00FA6DE4" w:rsidRDefault="00000000">
      <w:pPr>
        <w:autoSpaceDE w:val="0"/>
        <w:autoSpaceDN w:val="0"/>
        <w:spacing w:before="332" w:after="0" w:line="280" w:lineRule="exact"/>
        <w:ind w:left="156" w:right="1152"/>
      </w:pPr>
      <w:r>
        <w:rPr>
          <w:rFonts w:ascii="GillSansMTPro" w:eastAsia="GillSansMTPro" w:hAnsi="GillSansMTPro"/>
          <w:i/>
          <w:color w:val="221F1F"/>
          <w:sz w:val="24"/>
        </w:rPr>
        <w:t>Low Participation of Minorities in Health–Behavioral Studies</w:t>
      </w:r>
    </w:p>
    <w:p w14:paraId="092E21F6" w14:textId="77777777" w:rsidR="00FA6DE4" w:rsidRDefault="00000000">
      <w:pPr>
        <w:autoSpaceDE w:val="0"/>
        <w:autoSpaceDN w:val="0"/>
        <w:spacing w:before="108" w:after="0" w:line="240" w:lineRule="exact"/>
        <w:ind w:left="156" w:right="26"/>
        <w:jc w:val="both"/>
      </w:pPr>
      <w:r>
        <w:rPr>
          <w:rFonts w:ascii="TimesNewRomanPSMT" w:eastAsia="TimesNewRomanPSMT" w:hAnsi="TimesNewRomanPSMT"/>
          <w:color w:val="221F1F"/>
          <w:sz w:val="20"/>
        </w:rPr>
        <w:t xml:space="preserve">Health and behavioral researchers often draw inferences from a relatively narrow breadth of human diversity and assume the findings are generalizable (Henrich et al., 2010). </w:t>
      </w:r>
    </w:p>
    <w:p w14:paraId="49D986F3" w14:textId="77777777" w:rsidR="00FA6DE4" w:rsidRDefault="00000000">
      <w:pPr>
        <w:autoSpaceDE w:val="0"/>
        <w:autoSpaceDN w:val="0"/>
        <w:spacing w:before="308" w:after="0" w:line="200" w:lineRule="exact"/>
        <w:ind w:left="156" w:right="1152"/>
      </w:pPr>
      <w:r>
        <w:rPr>
          <w:rFonts w:ascii="GillSansMTPro" w:eastAsia="GillSansMTPro" w:hAnsi="GillSansMTPro"/>
          <w:color w:val="221F1F"/>
          <w:w w:val="103"/>
          <w:sz w:val="10"/>
        </w:rPr>
        <w:t>1</w:t>
      </w:r>
      <w:r>
        <w:rPr>
          <w:rFonts w:ascii="GillSansMTPro" w:eastAsia="GillSansMTPro" w:hAnsi="GillSansMTPro"/>
          <w:color w:val="221F1F"/>
          <w:sz w:val="16"/>
        </w:rPr>
        <w:t xml:space="preserve">Kent State University, Kent, OH, USA </w:t>
      </w:r>
      <w:r>
        <w:br/>
      </w:r>
      <w:r>
        <w:rPr>
          <w:rFonts w:ascii="GillSansMTPro" w:eastAsia="GillSansMTPro" w:hAnsi="GillSansMTPro"/>
          <w:color w:val="221F1F"/>
          <w:w w:val="103"/>
          <w:sz w:val="10"/>
        </w:rPr>
        <w:t>2</w:t>
      </w:r>
      <w:r>
        <w:rPr>
          <w:rFonts w:ascii="GillSansMTPro" w:eastAsia="GillSansMTPro" w:hAnsi="GillSansMTPro"/>
          <w:color w:val="221F1F"/>
          <w:sz w:val="16"/>
        </w:rPr>
        <w:t xml:space="preserve">Trocaire College, Buffalo, NY, USA </w:t>
      </w:r>
      <w:r>
        <w:br/>
      </w:r>
      <w:r>
        <w:rPr>
          <w:rFonts w:ascii="GillSansMTPro" w:eastAsia="GillSansMTPro" w:hAnsi="GillSansMTPro"/>
          <w:color w:val="221F1F"/>
          <w:w w:val="103"/>
          <w:sz w:val="10"/>
        </w:rPr>
        <w:t>3</w:t>
      </w:r>
      <w:r>
        <w:rPr>
          <w:rFonts w:ascii="GillSansMTPro" w:eastAsia="GillSansMTPro" w:hAnsi="GillSansMTPro"/>
          <w:color w:val="221F1F"/>
          <w:sz w:val="16"/>
        </w:rPr>
        <w:t xml:space="preserve">George Mason University, Fairfax, VA, USA </w:t>
      </w:r>
      <w:r>
        <w:br/>
      </w:r>
      <w:r>
        <w:rPr>
          <w:rFonts w:ascii="GillSansMTPro" w:eastAsia="GillSansMTPro" w:hAnsi="GillSansMTPro"/>
          <w:color w:val="221F1F"/>
          <w:w w:val="103"/>
          <w:sz w:val="10"/>
        </w:rPr>
        <w:t>4</w:t>
      </w:r>
      <w:r>
        <w:rPr>
          <w:rFonts w:ascii="GillSansMTPro" w:eastAsia="GillSansMTPro" w:hAnsi="GillSansMTPro"/>
          <w:color w:val="221F1F"/>
          <w:sz w:val="16"/>
        </w:rPr>
        <w:t>Case Western Reserve University, Cleveland, OH, USA</w:t>
      </w:r>
    </w:p>
    <w:p w14:paraId="391AF50A" w14:textId="77777777" w:rsidR="00FA6DE4" w:rsidRDefault="00000000">
      <w:pPr>
        <w:autoSpaceDE w:val="0"/>
        <w:autoSpaceDN w:val="0"/>
        <w:spacing w:before="124" w:after="0" w:line="198" w:lineRule="exact"/>
        <w:ind w:left="156" w:right="288"/>
      </w:pPr>
      <w:r>
        <w:rPr>
          <w:rFonts w:ascii="GillSansMTPro" w:eastAsia="GillSansMTPro" w:hAnsi="GillSansMTPro"/>
          <w:b/>
          <w:color w:val="221F1F"/>
          <w:sz w:val="16"/>
        </w:rPr>
        <w:t xml:space="preserve">Corresponding Author: </w:t>
      </w:r>
      <w:r>
        <w:br/>
      </w:r>
      <w:r>
        <w:rPr>
          <w:rFonts w:ascii="GillSansMTPro" w:eastAsia="GillSansMTPro" w:hAnsi="GillSansMTPro"/>
          <w:color w:val="221F1F"/>
          <w:sz w:val="16"/>
        </w:rPr>
        <w:t xml:space="preserve">Ya-Fen Wang, Kent State University, PO Box 5190, Kent, OH 44242, USA. </w:t>
      </w:r>
    </w:p>
    <w:p w14:paraId="5A375586" w14:textId="77777777" w:rsidR="00FA6DE4" w:rsidRDefault="00000000">
      <w:pPr>
        <w:autoSpaceDE w:val="0"/>
        <w:autoSpaceDN w:val="0"/>
        <w:spacing w:before="14" w:after="0" w:line="186" w:lineRule="exact"/>
        <w:ind w:left="156"/>
      </w:pPr>
      <w:r>
        <w:rPr>
          <w:rFonts w:ascii="GillSansMTPro" w:eastAsia="GillSansMTPro" w:hAnsi="GillSansMTPro"/>
          <w:color w:val="221F1F"/>
          <w:sz w:val="16"/>
        </w:rPr>
        <w:t xml:space="preserve">Email: </w:t>
      </w:r>
      <w:hyperlink r:id="rId16" w:history="1">
        <w:r>
          <w:rPr>
            <w:rFonts w:ascii="GillSansMTPro" w:eastAsia="GillSansMTPro" w:hAnsi="GillSansMTPro"/>
            <w:color w:val="221F1F"/>
            <w:sz w:val="16"/>
          </w:rPr>
          <w:t>ywang95@kent.edu</w:t>
        </w:r>
      </w:hyperlink>
    </w:p>
    <w:p w14:paraId="17D8EE2B" w14:textId="77777777" w:rsidR="00FA6DE4" w:rsidRDefault="00FA6DE4">
      <w:pPr>
        <w:sectPr w:rsidR="00FA6DE4">
          <w:type w:val="nextColumn"/>
          <w:pgSz w:w="12240" w:h="15840"/>
          <w:pgMar w:top="56" w:right="884" w:bottom="584" w:left="168" w:header="720" w:footer="720" w:gutter="0"/>
          <w:cols w:num="2" w:space="720" w:equalWidth="0">
            <w:col w:w="6126" w:space="0"/>
            <w:col w:w="5061" w:space="0"/>
          </w:cols>
          <w:docGrid w:linePitch="360"/>
        </w:sectPr>
      </w:pPr>
    </w:p>
    <w:p w14:paraId="78359E17" w14:textId="77777777" w:rsidR="00FA6DE4" w:rsidRDefault="00FA6DE4">
      <w:pPr>
        <w:autoSpaceDE w:val="0"/>
        <w:autoSpaceDN w:val="0"/>
        <w:spacing w:after="174" w:line="220" w:lineRule="exact"/>
      </w:pPr>
    </w:p>
    <w:tbl>
      <w:tblPr>
        <w:tblW w:w="0" w:type="auto"/>
        <w:tblLayout w:type="fixed"/>
        <w:tblLook w:val="04A0" w:firstRow="1" w:lastRow="0" w:firstColumn="1" w:lastColumn="0" w:noHBand="0" w:noVBand="1"/>
      </w:tblPr>
      <w:tblGrid>
        <w:gridCol w:w="3622"/>
        <w:gridCol w:w="6402"/>
      </w:tblGrid>
      <w:tr w:rsidR="00FA6DE4" w14:paraId="15F212F1" w14:textId="77777777">
        <w:trPr>
          <w:trHeight w:hRule="exact" w:val="254"/>
        </w:trPr>
        <w:tc>
          <w:tcPr>
            <w:tcW w:w="3622" w:type="dxa"/>
            <w:tcBorders>
              <w:bottom w:val="single" w:sz="2" w:space="0" w:color="221F1F"/>
            </w:tcBorders>
            <w:tcMar>
              <w:left w:w="0" w:type="dxa"/>
              <w:right w:w="0" w:type="dxa"/>
            </w:tcMar>
          </w:tcPr>
          <w:p w14:paraId="3BFEDA95" w14:textId="77777777" w:rsidR="00FA6DE4" w:rsidRDefault="00000000">
            <w:pPr>
              <w:autoSpaceDE w:val="0"/>
              <w:autoSpaceDN w:val="0"/>
              <w:spacing w:after="0" w:line="234" w:lineRule="exact"/>
              <w:ind w:left="2"/>
            </w:pPr>
            <w:r>
              <w:rPr>
                <w:rFonts w:ascii="GillSansMTPro" w:eastAsia="GillSansMTPro" w:hAnsi="GillSansMTPro"/>
                <w:color w:val="221F1F"/>
                <w:sz w:val="20"/>
              </w:rPr>
              <w:t>2</w:t>
            </w:r>
          </w:p>
        </w:tc>
        <w:tc>
          <w:tcPr>
            <w:tcW w:w="6402" w:type="dxa"/>
            <w:tcBorders>
              <w:bottom w:val="single" w:sz="2" w:space="0" w:color="221F1F"/>
            </w:tcBorders>
            <w:tcMar>
              <w:left w:w="0" w:type="dxa"/>
              <w:right w:w="0" w:type="dxa"/>
            </w:tcMar>
          </w:tcPr>
          <w:p w14:paraId="3B145448" w14:textId="77777777" w:rsidR="00FA6DE4" w:rsidRDefault="00000000">
            <w:pPr>
              <w:autoSpaceDE w:val="0"/>
              <w:autoSpaceDN w:val="0"/>
              <w:spacing w:after="0" w:line="232" w:lineRule="exact"/>
              <w:ind w:right="2"/>
              <w:jc w:val="right"/>
            </w:pPr>
            <w:r>
              <w:rPr>
                <w:rFonts w:ascii="GillSansMTPro" w:eastAsia="GillSansMTPro" w:hAnsi="GillSansMTPro"/>
                <w:i/>
                <w:color w:val="221F1F"/>
                <w:sz w:val="20"/>
              </w:rPr>
              <w:t>Journal of Transcultural Nursing 00(0)</w:t>
            </w:r>
          </w:p>
        </w:tc>
      </w:tr>
    </w:tbl>
    <w:p w14:paraId="02CD77A7" w14:textId="77777777" w:rsidR="00FA6DE4" w:rsidRDefault="00FA6DE4">
      <w:pPr>
        <w:autoSpaceDE w:val="0"/>
        <w:autoSpaceDN w:val="0"/>
        <w:spacing w:after="334" w:line="14" w:lineRule="exact"/>
      </w:pPr>
    </w:p>
    <w:p w14:paraId="1F73FBD1" w14:textId="77777777" w:rsidR="00FA6DE4" w:rsidRDefault="00FA6DE4">
      <w:pPr>
        <w:sectPr w:rsidR="00FA6DE4">
          <w:pgSz w:w="12240" w:h="15840"/>
          <w:pgMar w:top="396" w:right="1190" w:bottom="630" w:left="958" w:header="720" w:footer="720" w:gutter="0"/>
          <w:cols w:space="720" w:equalWidth="0">
            <w:col w:w="10092" w:space="0"/>
          </w:cols>
          <w:docGrid w:linePitch="360"/>
        </w:sectPr>
      </w:pPr>
    </w:p>
    <w:p w14:paraId="3F90329B" w14:textId="77777777" w:rsidR="00FA6DE4" w:rsidRDefault="00000000">
      <w:pPr>
        <w:autoSpaceDE w:val="0"/>
        <w:autoSpaceDN w:val="0"/>
        <w:spacing w:after="0" w:line="240" w:lineRule="exact"/>
        <w:ind w:left="2" w:right="144"/>
      </w:pPr>
      <w:r>
        <w:rPr>
          <w:rFonts w:ascii="TimesNewRomanPSMT" w:eastAsia="TimesNewRomanPSMT" w:hAnsi="TimesNewRomanPSMT"/>
          <w:color w:val="221F1F"/>
          <w:sz w:val="20"/>
        </w:rPr>
        <w:t>Lack of diverse inclusion for research studies has further resulted in health disparities across population groups (Ashing-Giwa &amp; Rosales, 2012; Henrich et al., 2010). Common barriers associated with low participation of under-represented populations include mistrust of research and researchers, lack of community involvement, lack of access to information or care, research protocol demands, and pro-vider perceptions (Ashing-Giwa &amp; Rosales, 2012; Byrne et al., 2014; Diaz, 2012; Fisher &amp; Kalbaugh, 2011; George et al., 2014; Otado et al., 2015; Staffileno &amp; Coke, 2006; Yancey et al., 2006). For instance, especially among African Americans, there appears to be a general mistrust of medical research, possibly due to past abuses such as those reflected by the Tuskegee Syphilis Study and other historical exploita-tions (Byrne et al., 2014; Farmer et al., 2007; Fisher &amp; Kalbaugh, 2011; George et al., 2014; Otado et al., 2015; Staffileno &amp; Coke, 2006; Yancey et al., 2006). As suggested in the literature, recruitment of diverse populations usually requires additional efforts, such as increasing community involvement and acceptance of research studies, to build trust and improve participation (Diaz, 2012; George et al., 2014; Otado et al., 2015; Probstfield &amp; Frye, 2011; Yancey et al., 2006). For example, some minority groups report not having information about accessing enrollment in studies (Byrne et al., 2014; George et al., 2014). Furthermore, com-pared with nonminority participants, minorities may have less health insurance coverage and limited access to medical care, resulting in a tendency to use emergency rooms that may not offer research participation (Arpey et al., 2017; Douthit et al., 2015).</w:t>
      </w:r>
    </w:p>
    <w:p w14:paraId="19F23F33" w14:textId="77777777" w:rsidR="00FA6DE4" w:rsidRDefault="00000000">
      <w:pPr>
        <w:autoSpaceDE w:val="0"/>
        <w:autoSpaceDN w:val="0"/>
        <w:spacing w:after="0" w:line="240" w:lineRule="exact"/>
        <w:ind w:left="2" w:right="144" w:firstLine="240"/>
      </w:pPr>
      <w:r>
        <w:rPr>
          <w:rFonts w:ascii="TimesNewRomanPSMT" w:eastAsia="TimesNewRomanPSMT" w:hAnsi="TimesNewRomanPSMT"/>
          <w:color w:val="221F1F"/>
          <w:sz w:val="20"/>
        </w:rPr>
        <w:t>Other potential reasons for inadequate inclusion of diverse populations in research may be due to protocol demands. For example, lack of culturally and linguistically responsive research plans have been identified as barriers to minority participation (Ashing-Giwa &amp; Rosales, 2012; George et al., 2014). Therefore, recruitment efforts targeting on racial and ethnic groups using culturally tailored approaches have been suggested, such as ethnically matched recruiter (Yancey et al., 2006). However, limited research budgets may also prevent researchers from training culturally competent staff (Ashing-Giwa &amp; Rosales, 2012) or restrict the availability of language-appropriate materials to facilitate research partici-pation (George et al., 2014).</w:t>
      </w:r>
    </w:p>
    <w:p w14:paraId="7D6F47AA" w14:textId="77777777" w:rsidR="00FA6DE4" w:rsidRDefault="00000000">
      <w:pPr>
        <w:autoSpaceDE w:val="0"/>
        <w:autoSpaceDN w:val="0"/>
        <w:spacing w:after="0" w:line="240" w:lineRule="exact"/>
        <w:ind w:left="2" w:right="144" w:firstLine="240"/>
      </w:pPr>
      <w:r>
        <w:rPr>
          <w:rFonts w:ascii="TimesNewRomanPSMT" w:eastAsia="TimesNewRomanPSMT" w:hAnsi="TimesNewRomanPSMT"/>
          <w:color w:val="221F1F"/>
          <w:sz w:val="20"/>
        </w:rPr>
        <w:t>Researchers need to identify effective and efficient strate-gies that can accelerate the recruitment and retention process, especially for children from culturally diverse backgrounds (Schoeppe et al., 2014). However, few reports focus on suc-cessful recruitment and retention strategies for children from culturally diverse backgrounds (Backinger et al., 2008; Trapp et al., 2012). Building on the methodology and lessons learned from the research team’s previous study of children’s physical activity and stress levels, the purpose of this article is to describe the productive methods for recruiting and retaining children from culturally diverse communities with minority, immigrant, or low SES backgrounds.</w:t>
      </w:r>
    </w:p>
    <w:p w14:paraId="311D312E" w14:textId="77777777" w:rsidR="00FA6DE4" w:rsidRDefault="00FA6DE4">
      <w:pPr>
        <w:sectPr w:rsidR="00FA6DE4">
          <w:type w:val="continuous"/>
          <w:pgSz w:w="12240" w:h="15840"/>
          <w:pgMar w:top="396" w:right="1190" w:bottom="630" w:left="958" w:header="720" w:footer="720" w:gutter="0"/>
          <w:cols w:num="2" w:space="720" w:equalWidth="0">
            <w:col w:w="5038" w:space="0"/>
            <w:col w:w="5054" w:space="0"/>
          </w:cols>
          <w:docGrid w:linePitch="360"/>
        </w:sectPr>
      </w:pPr>
    </w:p>
    <w:p w14:paraId="47F48541" w14:textId="77777777" w:rsidR="00FA6DE4" w:rsidRDefault="00000000">
      <w:pPr>
        <w:autoSpaceDE w:val="0"/>
        <w:autoSpaceDN w:val="0"/>
        <w:spacing w:after="0" w:line="288" w:lineRule="exact"/>
        <w:ind w:left="154"/>
      </w:pPr>
      <w:r>
        <w:rPr>
          <w:rFonts w:ascii="GillSansMTPro" w:eastAsia="GillSansMTPro" w:hAnsi="GillSansMTPro"/>
          <w:b/>
          <w:color w:val="221F1F"/>
          <w:sz w:val="24"/>
        </w:rPr>
        <w:t>Method</w:t>
      </w:r>
    </w:p>
    <w:p w14:paraId="0AA8FCC3" w14:textId="77777777" w:rsidR="00FA6DE4" w:rsidRDefault="00000000">
      <w:pPr>
        <w:autoSpaceDE w:val="0"/>
        <w:autoSpaceDN w:val="0"/>
        <w:spacing w:before="118" w:after="0" w:line="280" w:lineRule="exact"/>
        <w:ind w:left="154"/>
      </w:pPr>
      <w:r>
        <w:rPr>
          <w:rFonts w:ascii="GillSansMTPro" w:eastAsia="GillSansMTPro" w:hAnsi="GillSansMTPro"/>
          <w:i/>
          <w:color w:val="221F1F"/>
          <w:sz w:val="24"/>
        </w:rPr>
        <w:t>Design and Setting</w:t>
      </w:r>
    </w:p>
    <w:p w14:paraId="0FF578C5" w14:textId="77777777" w:rsidR="00FA6DE4" w:rsidRDefault="00000000">
      <w:pPr>
        <w:autoSpaceDE w:val="0"/>
        <w:autoSpaceDN w:val="0"/>
        <w:spacing w:before="106" w:after="0" w:line="240" w:lineRule="exact"/>
        <w:ind w:left="154"/>
      </w:pPr>
      <w:r>
        <w:rPr>
          <w:rFonts w:ascii="TimesNewRomanPSMT" w:eastAsia="TimesNewRomanPSMT" w:hAnsi="TimesNewRomanPSMT"/>
          <w:color w:val="221F1F"/>
          <w:sz w:val="20"/>
        </w:rPr>
        <w:t>Data for this secondary analysis were retrieved from a previ-ous cross-sectional study, which explored the relationship between physical activity and perceived stress among chil-dren in rural northeast Ohio. Children wore accelerometers on their wrists to quantify their level of physical activity and completed a questionnaire to assess their perceived psycho-logical stress. After data collections were completed, partici-pants were able to keep the accelerometers as compensation for their time.</w:t>
      </w:r>
    </w:p>
    <w:p w14:paraId="5726CC52" w14:textId="77777777" w:rsidR="00FA6DE4" w:rsidRDefault="00000000">
      <w:pPr>
        <w:autoSpaceDE w:val="0"/>
        <w:autoSpaceDN w:val="0"/>
        <w:spacing w:after="0" w:line="240" w:lineRule="exact"/>
        <w:ind w:left="154" w:right="20" w:firstLine="240"/>
        <w:jc w:val="both"/>
      </w:pPr>
      <w:r>
        <w:rPr>
          <w:rFonts w:ascii="TimesNewRomanPSMT" w:eastAsia="TimesNewRomanPSMT" w:hAnsi="TimesNewRomanPSMT"/>
          <w:color w:val="221F1F"/>
          <w:sz w:val="20"/>
        </w:rPr>
        <w:t>The recruitment took place in a school district, and the goal was to recruit 82 children between the ages of 8 and 12 years. Study procedures, such as advertising the study and recruiting participants, ensued following institutional review board (IRB) approval, and researchers collected data after receiving parental consent and child assent. Because the available language version of study instruments was limited, children aged 8 to 12 years who were able to communicate in English were invited to participate in this study. According to the Ohio Department of Education (2018), about 70% of enrolled students in this school district are racial and ethnic minorities with a Hispanic majority, and more than 95% are economically disadvantaged.</w:t>
      </w:r>
    </w:p>
    <w:p w14:paraId="06794CD2" w14:textId="77777777" w:rsidR="00FA6DE4" w:rsidRDefault="00000000">
      <w:pPr>
        <w:autoSpaceDE w:val="0"/>
        <w:autoSpaceDN w:val="0"/>
        <w:spacing w:before="294" w:after="0" w:line="280" w:lineRule="exact"/>
        <w:ind w:left="154"/>
      </w:pPr>
      <w:r>
        <w:rPr>
          <w:rFonts w:ascii="GillSansMTPro" w:eastAsia="GillSansMTPro" w:hAnsi="GillSansMTPro"/>
          <w:i/>
          <w:color w:val="221F1F"/>
          <w:sz w:val="24"/>
        </w:rPr>
        <w:t>Recruitment and Retention Process</w:t>
      </w:r>
    </w:p>
    <w:p w14:paraId="7684BE65" w14:textId="77777777" w:rsidR="00FA6DE4" w:rsidRDefault="00000000">
      <w:pPr>
        <w:autoSpaceDE w:val="0"/>
        <w:autoSpaceDN w:val="0"/>
        <w:spacing w:before="106" w:after="0" w:line="238" w:lineRule="exact"/>
        <w:ind w:left="154"/>
      </w:pPr>
      <w:r>
        <w:rPr>
          <w:rFonts w:ascii="TimesNewRomanPSMT" w:eastAsia="TimesNewRomanPSMT" w:hAnsi="TimesNewRomanPSMT"/>
          <w:color w:val="221F1F"/>
          <w:sz w:val="20"/>
        </w:rPr>
        <w:t>Recruitment plans were executed within a rural school district in northeast Ohio comprising one middle school and three elementary schools with more than 1,000 students aged 8 to 12 years enrolled annually. To balance research costs with opportunities to recruit a diverse population, recruitment efforts focused on one elementary school with approximately 220 eligible participants. Initial recruitment plans were school based and included take-home color flyers (in English and Spanish) distributed to eligible participants throughout the school system. District schools also made weekly media announcements about this research opportunity in English and Spanish. Additionally, researchers accepted referrals from current participants and in compliance with IRB require-ments responded to inquiries from parents. After obtaining parental consent, research staff approached potential child participants for their assent.</w:t>
      </w:r>
    </w:p>
    <w:p w14:paraId="5D892C0A" w14:textId="77777777" w:rsidR="00FA6DE4" w:rsidRDefault="00000000">
      <w:pPr>
        <w:autoSpaceDE w:val="0"/>
        <w:autoSpaceDN w:val="0"/>
        <w:spacing w:after="0" w:line="240" w:lineRule="exact"/>
        <w:ind w:left="154" w:firstLine="240"/>
      </w:pPr>
      <w:r>
        <w:rPr>
          <w:rFonts w:ascii="TimesNewRomanPSMT" w:eastAsia="TimesNewRomanPSMT" w:hAnsi="TimesNewRomanPSMT"/>
          <w:color w:val="221F1F"/>
          <w:sz w:val="20"/>
        </w:rPr>
        <w:t xml:space="preserve">To complete the study, two face-to-face data collection interviews were required. During the first interview, research-ers obtained completed parental consent and child assent, asked parents to complete a demographic sheet (either in English or Spanish), and asked child participants to complete an English-version questionnaire for assessing stress levels. Last, research staff introduced the accelerometer to child par-ticipants and their parents. Study participants received a USB connection cable to charge the accelerometer and kept this device as a study incentive if they completed the study. The second data collection interview was scheduled 7 days later </w:t>
      </w:r>
    </w:p>
    <w:p w14:paraId="726B6581" w14:textId="77777777" w:rsidR="00FA6DE4" w:rsidRDefault="00FA6DE4">
      <w:pPr>
        <w:sectPr w:rsidR="00FA6DE4">
          <w:type w:val="nextColumn"/>
          <w:pgSz w:w="12240" w:h="15840"/>
          <w:pgMar w:top="396" w:right="1190" w:bottom="630" w:left="958" w:header="720" w:footer="720" w:gutter="0"/>
          <w:cols w:num="2" w:space="720" w:equalWidth="0">
            <w:col w:w="5038" w:space="0"/>
            <w:col w:w="5054" w:space="0"/>
          </w:cols>
          <w:docGrid w:linePitch="360"/>
        </w:sectPr>
      </w:pPr>
    </w:p>
    <w:p w14:paraId="1D21F8F5" w14:textId="77777777" w:rsidR="00FA6DE4" w:rsidRDefault="00FA6DE4">
      <w:pPr>
        <w:autoSpaceDE w:val="0"/>
        <w:autoSpaceDN w:val="0"/>
        <w:spacing w:after="174" w:line="220" w:lineRule="exact"/>
      </w:pPr>
    </w:p>
    <w:tbl>
      <w:tblPr>
        <w:tblW w:w="0" w:type="auto"/>
        <w:tblLayout w:type="fixed"/>
        <w:tblLook w:val="04A0" w:firstRow="1" w:lastRow="0" w:firstColumn="1" w:lastColumn="0" w:noHBand="0" w:noVBand="1"/>
      </w:tblPr>
      <w:tblGrid>
        <w:gridCol w:w="5422"/>
        <w:gridCol w:w="4602"/>
      </w:tblGrid>
      <w:tr w:rsidR="00FA6DE4" w14:paraId="076CCE74" w14:textId="77777777">
        <w:trPr>
          <w:trHeight w:hRule="exact" w:val="254"/>
        </w:trPr>
        <w:tc>
          <w:tcPr>
            <w:tcW w:w="5422" w:type="dxa"/>
            <w:tcBorders>
              <w:bottom w:val="single" w:sz="2" w:space="0" w:color="221F1F"/>
            </w:tcBorders>
            <w:tcMar>
              <w:left w:w="0" w:type="dxa"/>
              <w:right w:w="0" w:type="dxa"/>
            </w:tcMar>
          </w:tcPr>
          <w:p w14:paraId="3B58827B" w14:textId="77777777" w:rsidR="00FA6DE4" w:rsidRDefault="00000000">
            <w:pPr>
              <w:autoSpaceDE w:val="0"/>
              <w:autoSpaceDN w:val="0"/>
              <w:spacing w:after="0" w:line="232" w:lineRule="exact"/>
              <w:ind w:left="2"/>
            </w:pPr>
            <w:r>
              <w:rPr>
                <w:rFonts w:ascii="GillSansMTPro" w:eastAsia="GillSansMTPro" w:hAnsi="GillSansMTPro"/>
                <w:i/>
                <w:color w:val="221F1F"/>
                <w:sz w:val="20"/>
              </w:rPr>
              <w:t xml:space="preserve">Wang et al. </w:t>
            </w:r>
          </w:p>
        </w:tc>
        <w:tc>
          <w:tcPr>
            <w:tcW w:w="4602" w:type="dxa"/>
            <w:tcBorders>
              <w:bottom w:val="single" w:sz="2" w:space="0" w:color="221F1F"/>
            </w:tcBorders>
            <w:tcMar>
              <w:left w:w="0" w:type="dxa"/>
              <w:right w:w="0" w:type="dxa"/>
            </w:tcMar>
          </w:tcPr>
          <w:p w14:paraId="4D927A5B" w14:textId="77777777" w:rsidR="00FA6DE4" w:rsidRDefault="00000000">
            <w:pPr>
              <w:autoSpaceDE w:val="0"/>
              <w:autoSpaceDN w:val="0"/>
              <w:spacing w:after="0" w:line="234" w:lineRule="exact"/>
              <w:ind w:right="2"/>
              <w:jc w:val="right"/>
            </w:pPr>
            <w:r>
              <w:rPr>
                <w:rFonts w:ascii="GillSansMTPro" w:eastAsia="GillSansMTPro" w:hAnsi="GillSansMTPro"/>
                <w:color w:val="221F1F"/>
                <w:sz w:val="20"/>
              </w:rPr>
              <w:t>3</w:t>
            </w:r>
          </w:p>
        </w:tc>
      </w:tr>
    </w:tbl>
    <w:p w14:paraId="7438E000" w14:textId="77777777" w:rsidR="00FA6DE4" w:rsidRDefault="00FA6DE4">
      <w:pPr>
        <w:autoSpaceDE w:val="0"/>
        <w:autoSpaceDN w:val="0"/>
        <w:spacing w:after="334" w:line="14" w:lineRule="exact"/>
      </w:pPr>
    </w:p>
    <w:p w14:paraId="44F6521E" w14:textId="77777777" w:rsidR="00FA6DE4" w:rsidRDefault="00FA6DE4">
      <w:pPr>
        <w:sectPr w:rsidR="00FA6DE4">
          <w:pgSz w:w="12240" w:h="15840"/>
          <w:pgMar w:top="396" w:right="890" w:bottom="630" w:left="1258" w:header="720" w:footer="720" w:gutter="0"/>
          <w:cols w:space="720" w:equalWidth="0">
            <w:col w:w="10092" w:space="0"/>
          </w:cols>
          <w:docGrid w:linePitch="360"/>
        </w:sectPr>
      </w:pPr>
    </w:p>
    <w:p w14:paraId="38B914F4" w14:textId="77777777" w:rsidR="00FA6DE4" w:rsidRDefault="00000000">
      <w:pPr>
        <w:autoSpaceDE w:val="0"/>
        <w:autoSpaceDN w:val="0"/>
        <w:spacing w:after="0" w:line="238" w:lineRule="exact"/>
        <w:ind w:left="2" w:right="144"/>
      </w:pPr>
      <w:r>
        <w:rPr>
          <w:rFonts w:ascii="TimesNewRomanPSMT" w:eastAsia="TimesNewRomanPSMT" w:hAnsi="TimesNewRomanPSMT"/>
          <w:color w:val="221F1F"/>
          <w:sz w:val="20"/>
        </w:rPr>
        <w:t>so research staff were able to retrieve accelerometer readings. During the 7-day study period, no particular retention strat-egy was used. Research staff who had initially contacted each participant made only one reminder call, sent one text mes-sage, or emailed one time the day before the prescheduled data collection interview. To meet the needs of participants, researchers offered rescheduling flexibility for both data col-lection interviews. Rates of successful recruitment and reten-tion (i.e., study completion) were documented, and participant recruitment types were tracked.</w:t>
      </w:r>
    </w:p>
    <w:p w14:paraId="2F659621" w14:textId="77777777" w:rsidR="00FA6DE4" w:rsidRDefault="00000000">
      <w:pPr>
        <w:autoSpaceDE w:val="0"/>
        <w:autoSpaceDN w:val="0"/>
        <w:spacing w:after="0" w:line="240" w:lineRule="exact"/>
        <w:ind w:left="2" w:right="144" w:firstLine="240"/>
      </w:pPr>
      <w:r>
        <w:rPr>
          <w:rFonts w:ascii="TimesNewRomanPSMT" w:eastAsia="TimesNewRomanPSMT" w:hAnsi="TimesNewRomanPSMT"/>
          <w:color w:val="221F1F"/>
          <w:sz w:val="20"/>
        </w:rPr>
        <w:t xml:space="preserve">During the first 2 months of study recruitment, the research team received no inquiries and recruited zero par-ticipants through school-based plans; therefore, recruit-ment strategies were revisited. Researchers identified barriers such as lack of access to potential participants, financial and time constraints of parents, language barriers, and lack of interest in study research. To address these con-cerns, research staff not only continued the previous recruit-ment strategies but also extended the research location scope from the school district to surrounding community partners, such as libraries, churches, and the Young Men’s Christian Association (YMCA). In close proximity to the school district, the YMCA has a variety of programs for both adults and children and often provides free member-ships to people in need who reside in this area. Research staff also attended several school district community meet-ings to introduce the study to community partners and seek their support promoting the study to potential participants. Additionally, researchers set up a booth at a school district </w:t>
      </w:r>
    </w:p>
    <w:p w14:paraId="673D4062" w14:textId="77777777" w:rsidR="00FA6DE4" w:rsidRDefault="00FA6DE4">
      <w:pPr>
        <w:sectPr w:rsidR="00FA6DE4">
          <w:type w:val="continuous"/>
          <w:pgSz w:w="12240" w:h="15840"/>
          <w:pgMar w:top="396" w:right="890" w:bottom="630" w:left="1258" w:header="720" w:footer="720" w:gutter="0"/>
          <w:cols w:num="2" w:space="720" w:equalWidth="0">
            <w:col w:w="5038" w:space="0"/>
            <w:col w:w="5054" w:space="0"/>
          </w:cols>
          <w:docGrid w:linePitch="360"/>
        </w:sectPr>
      </w:pPr>
    </w:p>
    <w:p w14:paraId="33DBEBFC" w14:textId="77777777" w:rsidR="00FA6DE4" w:rsidRDefault="00000000">
      <w:pPr>
        <w:autoSpaceDE w:val="0"/>
        <w:autoSpaceDN w:val="0"/>
        <w:spacing w:after="0" w:line="238" w:lineRule="exact"/>
        <w:ind w:left="154"/>
      </w:pPr>
      <w:r>
        <w:rPr>
          <w:rFonts w:ascii="TimesNewRomanPSMT" w:eastAsia="TimesNewRomanPSMT" w:hAnsi="TimesNewRomanPSMT"/>
          <w:color w:val="221F1F"/>
          <w:sz w:val="20"/>
        </w:rPr>
        <w:t>(Table 1), however, no participants were recruited through take-home flyers, and only one participant was recruited through the school’s weekly media announcement. The remaining 91 potential participants contacted research staff after either seeing flyers posted at community part-ner locations (libraries or the YMCA), receiving informa-tion from enrolled participants, or obtaining research information at the school district’s resource fair. In sum, among the 92 potential study participants, 77 (83.7%) were successfully recruited and 72 (93.5%) completed the study (Figure 1). Demographic characteristics of study participants who completed the study are presented in Table 2. The two largest racial and ethnic groups of child participants were White (non-Hispanic) (54.2%) and Hispanic (37.5%) as self-identified.</w:t>
      </w:r>
    </w:p>
    <w:p w14:paraId="16F8EA1B" w14:textId="77777777" w:rsidR="00FA6DE4" w:rsidRDefault="00000000">
      <w:pPr>
        <w:autoSpaceDE w:val="0"/>
        <w:autoSpaceDN w:val="0"/>
        <w:spacing w:after="258" w:line="240" w:lineRule="exact"/>
        <w:ind w:left="154" w:firstLine="240"/>
      </w:pPr>
      <w:r>
        <w:rPr>
          <w:rFonts w:ascii="TimesNewRomanPSMT" w:eastAsia="TimesNewRomanPSMT" w:hAnsi="TimesNewRomanPSMT"/>
          <w:color w:val="221F1F"/>
          <w:sz w:val="20"/>
        </w:rPr>
        <w:t>Unsurprisingly, referral from current participants was the most effective way to recruit participants. As presented in Table 1, 35 participants (48.6%) who completed the study successfully were recruited from referrals, especially within the Hispanic population. The second most efficient recruit-ment strategy that worked well among White (non-Hispanic) participants in particular was flyer distribution at community partner locations (33.3%). Unfortunately, only three partici-pants, including one Hispanic participant, were recruited by seeing flyers posted at libraries or the YMCA. The school district event, a resource fair, provided an opportunity for engagement with potential study participants: 16.7% of par-ticipants were recruited successfully using this strategy.</w:t>
      </w:r>
    </w:p>
    <w:p w14:paraId="6639D331" w14:textId="77777777" w:rsidR="00FA6DE4" w:rsidRDefault="00FA6DE4">
      <w:pPr>
        <w:sectPr w:rsidR="00FA6DE4">
          <w:type w:val="nextColumn"/>
          <w:pgSz w:w="12240" w:h="15840"/>
          <w:pgMar w:top="396" w:right="890" w:bottom="630" w:left="1258" w:header="720" w:footer="720" w:gutter="0"/>
          <w:cols w:num="2" w:space="720" w:equalWidth="0">
            <w:col w:w="5038" w:space="0"/>
            <w:col w:w="5054" w:space="0"/>
          </w:cols>
          <w:docGrid w:linePitch="360"/>
        </w:sectPr>
      </w:pPr>
    </w:p>
    <w:p w14:paraId="5367E048" w14:textId="77777777" w:rsidR="00FA6DE4" w:rsidRDefault="00000000">
      <w:pPr>
        <w:tabs>
          <w:tab w:val="left" w:pos="5192"/>
        </w:tabs>
        <w:autoSpaceDE w:val="0"/>
        <w:autoSpaceDN w:val="0"/>
        <w:spacing w:after="18" w:line="222" w:lineRule="exact"/>
        <w:ind w:left="2"/>
      </w:pPr>
      <w:r>
        <w:rPr>
          <w:rFonts w:ascii="TimesNewRomanPSMT" w:eastAsia="TimesNewRomanPSMT" w:hAnsi="TimesNewRomanPSMT"/>
          <w:color w:val="221F1F"/>
          <w:sz w:val="20"/>
        </w:rPr>
        <w:t xml:space="preserve">event, a resource fair, to advertise the study. Since a certain amount of Spanish-speaking fair attendees (parents) was </w:t>
      </w:r>
      <w:r>
        <w:tab/>
      </w:r>
      <w:r>
        <w:rPr>
          <w:rFonts w:ascii="GillSansMTPro" w:eastAsia="GillSansMTPro" w:hAnsi="GillSansMTPro"/>
          <w:i/>
          <w:color w:val="221F1F"/>
          <w:sz w:val="24"/>
        </w:rPr>
        <w:t>Retention</w:t>
      </w:r>
    </w:p>
    <w:p w14:paraId="5314100F" w14:textId="77777777" w:rsidR="00FA6DE4" w:rsidRDefault="00FA6DE4">
      <w:pPr>
        <w:sectPr w:rsidR="00FA6DE4">
          <w:type w:val="continuous"/>
          <w:pgSz w:w="12240" w:h="15840"/>
          <w:pgMar w:top="396" w:right="890" w:bottom="630" w:left="1258" w:header="720" w:footer="720" w:gutter="0"/>
          <w:cols w:space="720" w:equalWidth="0">
            <w:col w:w="10092" w:space="0"/>
          </w:cols>
          <w:docGrid w:linePitch="360"/>
        </w:sectPr>
      </w:pPr>
    </w:p>
    <w:p w14:paraId="43B8EA7D" w14:textId="77777777" w:rsidR="00FA6DE4" w:rsidRDefault="00000000">
      <w:pPr>
        <w:autoSpaceDE w:val="0"/>
        <w:autoSpaceDN w:val="0"/>
        <w:spacing w:after="0" w:line="236" w:lineRule="exact"/>
        <w:ind w:left="2" w:right="144"/>
      </w:pPr>
      <w:r>
        <w:rPr>
          <w:rFonts w:ascii="TimesNewRomanPSMT" w:eastAsia="TimesNewRomanPSMT" w:hAnsi="TimesNewRomanPSMT"/>
          <w:color w:val="221F1F"/>
          <w:sz w:val="20"/>
        </w:rPr>
        <w:t>expected, the research team arranged for a bilingual inter-preter to attend the resource fair along with research staff to explain the study to Spanish-speaking fair attendees to overcome language barriers, encourage engagement, and facilitate recruitment.</w:t>
      </w:r>
    </w:p>
    <w:p w14:paraId="28088B7D" w14:textId="77777777" w:rsidR="00FA6DE4" w:rsidRDefault="00FA6DE4">
      <w:pPr>
        <w:sectPr w:rsidR="00FA6DE4">
          <w:type w:val="continuous"/>
          <w:pgSz w:w="12240" w:h="15840"/>
          <w:pgMar w:top="396" w:right="890" w:bottom="630" w:left="1258" w:header="720" w:footer="720" w:gutter="0"/>
          <w:cols w:num="2" w:space="720" w:equalWidth="0">
            <w:col w:w="5038" w:space="0"/>
            <w:col w:w="5054" w:space="0"/>
          </w:cols>
          <w:docGrid w:linePitch="360"/>
        </w:sectPr>
      </w:pPr>
    </w:p>
    <w:p w14:paraId="6ADBF839" w14:textId="77777777" w:rsidR="00FA6DE4" w:rsidRDefault="00000000">
      <w:pPr>
        <w:autoSpaceDE w:val="0"/>
        <w:autoSpaceDN w:val="0"/>
        <w:spacing w:after="18" w:line="238" w:lineRule="exact"/>
        <w:ind w:left="144"/>
        <w:jc w:val="center"/>
      </w:pPr>
      <w:r>
        <w:rPr>
          <w:rFonts w:ascii="TimesNewRomanPSMT" w:eastAsia="TimesNewRomanPSMT" w:hAnsi="TimesNewRomanPSMT"/>
          <w:color w:val="221F1F"/>
          <w:sz w:val="20"/>
        </w:rPr>
        <w:t xml:space="preserve">The parent study required child participants to wear an accel-erometer day and night for 7 consecutive days except for water activities. After accelerometer readings were retrieved, participants were able to keep the device and given a USB connection cable as compensation for their time. Without reminders, more than 90% of child participants completed </w:t>
      </w:r>
    </w:p>
    <w:p w14:paraId="13CE9D4B" w14:textId="77777777" w:rsidR="00FA6DE4" w:rsidRDefault="00FA6DE4">
      <w:pPr>
        <w:sectPr w:rsidR="00FA6DE4">
          <w:type w:val="nextColumn"/>
          <w:pgSz w:w="12240" w:h="15840"/>
          <w:pgMar w:top="396" w:right="890" w:bottom="630" w:left="1258" w:header="720" w:footer="720" w:gutter="0"/>
          <w:cols w:num="2" w:space="720" w:equalWidth="0">
            <w:col w:w="5038" w:space="0"/>
            <w:col w:w="5054" w:space="0"/>
          </w:cols>
          <w:docGrid w:linePitch="360"/>
        </w:sectPr>
      </w:pPr>
    </w:p>
    <w:tbl>
      <w:tblPr>
        <w:tblW w:w="0" w:type="auto"/>
        <w:tblInd w:w="-17" w:type="dxa"/>
        <w:tblLayout w:type="fixed"/>
        <w:tblLook w:val="04A0" w:firstRow="1" w:lastRow="0" w:firstColumn="1" w:lastColumn="0" w:noHBand="0" w:noVBand="1"/>
      </w:tblPr>
      <w:tblGrid>
        <w:gridCol w:w="3160"/>
        <w:gridCol w:w="6940"/>
      </w:tblGrid>
      <w:tr w:rsidR="00FA6DE4" w14:paraId="632BF317" w14:textId="77777777">
        <w:trPr>
          <w:trHeight w:hRule="exact" w:val="922"/>
        </w:trPr>
        <w:tc>
          <w:tcPr>
            <w:tcW w:w="3160" w:type="dxa"/>
            <w:tcMar>
              <w:left w:w="0" w:type="dxa"/>
              <w:right w:w="0" w:type="dxa"/>
            </w:tcMar>
          </w:tcPr>
          <w:p w14:paraId="78750003" w14:textId="77777777" w:rsidR="00FA6DE4" w:rsidRDefault="00000000">
            <w:pPr>
              <w:autoSpaceDE w:val="0"/>
              <w:autoSpaceDN w:val="0"/>
              <w:spacing w:before="38" w:after="0" w:line="398" w:lineRule="exact"/>
              <w:ind w:left="20" w:right="2016"/>
            </w:pPr>
            <w:r>
              <w:rPr>
                <w:rFonts w:ascii="GillSansMTPro" w:eastAsia="GillSansMTPro" w:hAnsi="GillSansMTPro"/>
                <w:b/>
                <w:color w:val="221F1F"/>
                <w:sz w:val="24"/>
              </w:rPr>
              <w:t xml:space="preserve">Results </w:t>
            </w:r>
            <w:r>
              <w:br/>
            </w:r>
            <w:r>
              <w:rPr>
                <w:rFonts w:ascii="GillSansMTPro" w:eastAsia="GillSansMTPro" w:hAnsi="GillSansMTPro"/>
                <w:i/>
                <w:color w:val="221F1F"/>
                <w:sz w:val="24"/>
              </w:rPr>
              <w:t>Recruitment</w:t>
            </w:r>
          </w:p>
        </w:tc>
        <w:tc>
          <w:tcPr>
            <w:tcW w:w="6940" w:type="dxa"/>
            <w:tcMar>
              <w:left w:w="0" w:type="dxa"/>
              <w:right w:w="0" w:type="dxa"/>
            </w:tcMar>
          </w:tcPr>
          <w:p w14:paraId="3B8E7504" w14:textId="77777777" w:rsidR="00FA6DE4" w:rsidRDefault="00000000">
            <w:pPr>
              <w:autoSpaceDE w:val="0"/>
              <w:autoSpaceDN w:val="0"/>
              <w:spacing w:after="0" w:line="236" w:lineRule="exact"/>
              <w:ind w:left="2016"/>
              <w:jc w:val="center"/>
            </w:pPr>
            <w:r>
              <w:rPr>
                <w:rFonts w:ascii="TimesNewRomanPSMT" w:eastAsia="TimesNewRomanPSMT" w:hAnsi="TimesNewRomanPSMT"/>
                <w:color w:val="221F1F"/>
                <w:sz w:val="20"/>
              </w:rPr>
              <w:t>the study successfully. Only four participants were lost to follow-up, and one withdrew from the study due to a frac-tured leg with limited levels of physical activity. Based on feedback from study participants and parents, accommodat-</w:t>
            </w:r>
          </w:p>
        </w:tc>
      </w:tr>
    </w:tbl>
    <w:p w14:paraId="2819B4FD" w14:textId="77777777" w:rsidR="00FA6DE4" w:rsidRDefault="00FA6DE4">
      <w:pPr>
        <w:autoSpaceDE w:val="0"/>
        <w:autoSpaceDN w:val="0"/>
        <w:spacing w:after="18" w:line="14" w:lineRule="exact"/>
      </w:pPr>
    </w:p>
    <w:p w14:paraId="7D411C82" w14:textId="77777777" w:rsidR="00FA6DE4" w:rsidRDefault="00FA6DE4">
      <w:pPr>
        <w:sectPr w:rsidR="00FA6DE4">
          <w:type w:val="continuous"/>
          <w:pgSz w:w="12240" w:h="15840"/>
          <w:pgMar w:top="396" w:right="890" w:bottom="630" w:left="1258" w:header="720" w:footer="720" w:gutter="0"/>
          <w:cols w:space="720" w:equalWidth="0">
            <w:col w:w="10092" w:space="0"/>
          </w:cols>
          <w:docGrid w:linePitch="360"/>
        </w:sectPr>
      </w:pPr>
    </w:p>
    <w:p w14:paraId="45EF95D2" w14:textId="77777777" w:rsidR="00FA6DE4" w:rsidRDefault="00000000">
      <w:pPr>
        <w:autoSpaceDE w:val="0"/>
        <w:autoSpaceDN w:val="0"/>
        <w:spacing w:after="0" w:line="236" w:lineRule="exact"/>
        <w:ind w:right="144"/>
        <w:jc w:val="center"/>
      </w:pPr>
      <w:r>
        <w:rPr>
          <w:rFonts w:ascii="TimesNewRomanPSMT" w:eastAsia="TimesNewRomanPSMT" w:hAnsi="TimesNewRomanPSMT"/>
          <w:color w:val="221F1F"/>
          <w:sz w:val="20"/>
        </w:rPr>
        <w:t xml:space="preserve">After obtaining IRB approval, a school-based recruitment plan was implemented. Two hundred and twenty color flyers in English and Spanish were sent home to eligible child par-ticipants throughout the school system, and the school also </w:t>
      </w:r>
    </w:p>
    <w:p w14:paraId="13537707" w14:textId="77777777" w:rsidR="00FA6DE4" w:rsidRDefault="00FA6DE4">
      <w:pPr>
        <w:sectPr w:rsidR="00FA6DE4">
          <w:type w:val="continuous"/>
          <w:pgSz w:w="12240" w:h="15840"/>
          <w:pgMar w:top="396" w:right="890" w:bottom="630" w:left="1258" w:header="720" w:footer="720" w:gutter="0"/>
          <w:cols w:num="2" w:space="720" w:equalWidth="0">
            <w:col w:w="5038" w:space="0"/>
            <w:col w:w="5054" w:space="0"/>
          </w:cols>
          <w:docGrid w:linePitch="360"/>
        </w:sectPr>
      </w:pPr>
    </w:p>
    <w:p w14:paraId="040A03F0" w14:textId="77777777" w:rsidR="00FA6DE4" w:rsidRDefault="00000000">
      <w:pPr>
        <w:autoSpaceDE w:val="0"/>
        <w:autoSpaceDN w:val="0"/>
        <w:spacing w:after="258" w:line="234" w:lineRule="exact"/>
        <w:ind w:left="154"/>
      </w:pPr>
      <w:r>
        <w:rPr>
          <w:rFonts w:ascii="TimesNewRomanPSMT" w:eastAsia="TimesNewRomanPSMT" w:hAnsi="TimesNewRomanPSMT"/>
          <w:color w:val="221F1F"/>
          <w:sz w:val="20"/>
        </w:rPr>
        <w:t>ing participants’ availability and schedules was the main rea-son for attending the second data collection appointment and completing the study.</w:t>
      </w:r>
    </w:p>
    <w:p w14:paraId="0F45D11A" w14:textId="77777777" w:rsidR="00FA6DE4" w:rsidRDefault="00FA6DE4">
      <w:pPr>
        <w:sectPr w:rsidR="00FA6DE4">
          <w:type w:val="nextColumn"/>
          <w:pgSz w:w="12240" w:h="15840"/>
          <w:pgMar w:top="396" w:right="890" w:bottom="630" w:left="1258" w:header="720" w:footer="720" w:gutter="0"/>
          <w:cols w:num="2" w:space="720" w:equalWidth="0">
            <w:col w:w="5038" w:space="0"/>
            <w:col w:w="5054" w:space="0"/>
          </w:cols>
          <w:docGrid w:linePitch="360"/>
        </w:sectPr>
      </w:pPr>
    </w:p>
    <w:p w14:paraId="04738DCB" w14:textId="77777777" w:rsidR="00FA6DE4" w:rsidRDefault="00000000">
      <w:pPr>
        <w:tabs>
          <w:tab w:val="left" w:pos="5192"/>
        </w:tabs>
        <w:autoSpaceDE w:val="0"/>
        <w:autoSpaceDN w:val="0"/>
        <w:spacing w:after="18" w:line="222" w:lineRule="exact"/>
        <w:ind w:left="2"/>
      </w:pPr>
      <w:r>
        <w:rPr>
          <w:rFonts w:ascii="TimesNewRomanPSMT" w:eastAsia="TimesNewRomanPSMT" w:hAnsi="TimesNewRomanPSMT"/>
          <w:color w:val="221F1F"/>
          <w:sz w:val="20"/>
        </w:rPr>
        <w:t xml:space="preserve">made weekly media announcements (in both English and Spanish). Two months later, revised recruitment strategies </w:t>
      </w:r>
      <w:r>
        <w:tab/>
      </w:r>
      <w:r>
        <w:rPr>
          <w:rFonts w:ascii="GillSansMTPro" w:eastAsia="GillSansMTPro" w:hAnsi="GillSansMTPro"/>
          <w:b/>
          <w:color w:val="221F1F"/>
          <w:sz w:val="24"/>
        </w:rPr>
        <w:t>Discussion</w:t>
      </w:r>
    </w:p>
    <w:p w14:paraId="601352D3" w14:textId="77777777" w:rsidR="00FA6DE4" w:rsidRDefault="00FA6DE4">
      <w:pPr>
        <w:sectPr w:rsidR="00FA6DE4">
          <w:type w:val="continuous"/>
          <w:pgSz w:w="12240" w:h="15840"/>
          <w:pgMar w:top="396" w:right="890" w:bottom="630" w:left="1258" w:header="720" w:footer="720" w:gutter="0"/>
          <w:cols w:space="720" w:equalWidth="0">
            <w:col w:w="10092" w:space="0"/>
          </w:cols>
          <w:docGrid w:linePitch="360"/>
        </w:sectPr>
      </w:pPr>
    </w:p>
    <w:p w14:paraId="605D5DB0" w14:textId="77777777" w:rsidR="00FA6DE4" w:rsidRDefault="00000000">
      <w:pPr>
        <w:autoSpaceDE w:val="0"/>
        <w:autoSpaceDN w:val="0"/>
        <w:spacing w:after="0" w:line="234" w:lineRule="exact"/>
        <w:ind w:left="2" w:right="144"/>
      </w:pPr>
      <w:r>
        <w:rPr>
          <w:rFonts w:ascii="TimesNewRomanPSMT" w:eastAsia="TimesNewRomanPSMT" w:hAnsi="TimesNewRomanPSMT"/>
          <w:color w:val="221F1F"/>
          <w:sz w:val="20"/>
        </w:rPr>
        <w:t>were executed, including posting flyers at community part-ner locations, setting up a recruitment booth at the school district resource fair, and encouraging participant referrals.</w:t>
      </w:r>
    </w:p>
    <w:p w14:paraId="78E01E7F" w14:textId="77777777" w:rsidR="00FA6DE4" w:rsidRDefault="00000000">
      <w:pPr>
        <w:autoSpaceDE w:val="0"/>
        <w:autoSpaceDN w:val="0"/>
        <w:spacing w:after="0" w:line="240" w:lineRule="exact"/>
        <w:ind w:left="2" w:right="156" w:firstLine="240"/>
        <w:jc w:val="both"/>
      </w:pPr>
      <w:r>
        <w:rPr>
          <w:rFonts w:ascii="TimesNewRomanPSMT" w:eastAsia="TimesNewRomanPSMT" w:hAnsi="TimesNewRomanPSMT"/>
          <w:color w:val="221F1F"/>
          <w:sz w:val="20"/>
        </w:rPr>
        <w:t xml:space="preserve">As mentioned previously, although no inquiry was received during the first 2-month recruitment period, 92 potential participants contacted research staff during the 5-month recruitment period after multiple strategies were implemented. Despite these varied recruitment efforts </w:t>
      </w:r>
    </w:p>
    <w:p w14:paraId="48FEEE1D" w14:textId="77777777" w:rsidR="00FA6DE4" w:rsidRDefault="00FA6DE4">
      <w:pPr>
        <w:sectPr w:rsidR="00FA6DE4">
          <w:type w:val="continuous"/>
          <w:pgSz w:w="12240" w:h="15840"/>
          <w:pgMar w:top="396" w:right="890" w:bottom="630" w:left="1258" w:header="720" w:footer="720" w:gutter="0"/>
          <w:cols w:num="2" w:space="720" w:equalWidth="0">
            <w:col w:w="5038" w:space="0"/>
            <w:col w:w="5054" w:space="0"/>
          </w:cols>
          <w:docGrid w:linePitch="360"/>
        </w:sectPr>
      </w:pPr>
    </w:p>
    <w:p w14:paraId="7701B1AA" w14:textId="77777777" w:rsidR="00FA6DE4" w:rsidRDefault="00000000">
      <w:pPr>
        <w:autoSpaceDE w:val="0"/>
        <w:autoSpaceDN w:val="0"/>
        <w:spacing w:after="0" w:line="238" w:lineRule="exact"/>
        <w:ind w:left="144"/>
        <w:jc w:val="center"/>
      </w:pPr>
      <w:r>
        <w:rPr>
          <w:rFonts w:ascii="TimesNewRomanPSMT" w:eastAsia="TimesNewRomanPSMT" w:hAnsi="TimesNewRomanPSMT"/>
          <w:color w:val="221F1F"/>
          <w:sz w:val="20"/>
        </w:rPr>
        <w:t xml:space="preserve">The aim of this article is to present successful strategies and discuss challenges encountered with recruitment of children from diverse racial and ethnic communities for a study on physical activity and stress. Results revealed that while mul-tiple recruitment and retention strategies were equally effec-tive, the most useful strategies differed for various racial and ethnic groups. Posting and distributing flyers at com-munity partner locations was sufficient for recruiting White </w:t>
      </w:r>
    </w:p>
    <w:p w14:paraId="1709AC83" w14:textId="77777777" w:rsidR="00FA6DE4" w:rsidRDefault="00FA6DE4">
      <w:pPr>
        <w:sectPr w:rsidR="00FA6DE4">
          <w:type w:val="nextColumn"/>
          <w:pgSz w:w="12240" w:h="15840"/>
          <w:pgMar w:top="396" w:right="890" w:bottom="630" w:left="1258" w:header="720" w:footer="720" w:gutter="0"/>
          <w:cols w:num="2" w:space="720" w:equalWidth="0">
            <w:col w:w="5038" w:space="0"/>
            <w:col w:w="5054" w:space="0"/>
          </w:cols>
          <w:docGrid w:linePitch="360"/>
        </w:sectPr>
      </w:pPr>
    </w:p>
    <w:p w14:paraId="692BEAD7" w14:textId="77777777" w:rsidR="00FA6DE4" w:rsidRDefault="00000000">
      <w:pPr>
        <w:autoSpaceDE w:val="0"/>
        <w:autoSpaceDN w:val="0"/>
        <w:spacing w:after="174" w:line="220" w:lineRule="exact"/>
      </w:pPr>
      <w:r>
        <w:rPr>
          <w:noProof/>
        </w:rPr>
        <w:lastRenderedPageBreak/>
        <w:drawing>
          <wp:anchor distT="0" distB="0" distL="0" distR="0" simplePos="0" relativeHeight="251660288" behindDoc="1" locked="0" layoutInCell="1" allowOverlap="1" wp14:anchorId="2C69CF0A" wp14:editId="72387E75">
            <wp:simplePos x="0" y="0"/>
            <wp:positionH relativeFrom="page">
              <wp:posOffset>1828800</wp:posOffset>
            </wp:positionH>
            <wp:positionV relativeFrom="page">
              <wp:posOffset>2908300</wp:posOffset>
            </wp:positionV>
            <wp:extent cx="927100" cy="266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927100" cy="266700"/>
                    </a:xfrm>
                    <a:prstGeom prst="rect">
                      <a:avLst/>
                    </a:prstGeom>
                  </pic:spPr>
                </pic:pic>
              </a:graphicData>
            </a:graphic>
          </wp:anchor>
        </w:drawing>
      </w:r>
      <w:r>
        <w:rPr>
          <w:noProof/>
        </w:rPr>
        <w:drawing>
          <wp:anchor distT="0" distB="0" distL="0" distR="0" simplePos="0" relativeHeight="251661312" behindDoc="1" locked="0" layoutInCell="1" allowOverlap="1" wp14:anchorId="7C5847CF" wp14:editId="61C7D366">
            <wp:simplePos x="0" y="0"/>
            <wp:positionH relativeFrom="page">
              <wp:posOffset>2857500</wp:posOffset>
            </wp:positionH>
            <wp:positionV relativeFrom="page">
              <wp:posOffset>2908300</wp:posOffset>
            </wp:positionV>
            <wp:extent cx="2895600" cy="203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2895600" cy="2032000"/>
                    </a:xfrm>
                    <a:prstGeom prst="rect">
                      <a:avLst/>
                    </a:prstGeom>
                  </pic:spPr>
                </pic:pic>
              </a:graphicData>
            </a:graphic>
          </wp:anchor>
        </w:drawing>
      </w:r>
      <w:r>
        <w:rPr>
          <w:noProof/>
        </w:rPr>
        <w:drawing>
          <wp:anchor distT="0" distB="0" distL="0" distR="0" simplePos="0" relativeHeight="251662336" behindDoc="1" locked="0" layoutInCell="1" allowOverlap="1" wp14:anchorId="4A05CBFE" wp14:editId="5B6FA43E">
            <wp:simplePos x="0" y="0"/>
            <wp:positionH relativeFrom="page">
              <wp:posOffset>1828800</wp:posOffset>
            </wp:positionH>
            <wp:positionV relativeFrom="page">
              <wp:posOffset>3784600</wp:posOffset>
            </wp:positionV>
            <wp:extent cx="927100" cy="266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927100" cy="266700"/>
                    </a:xfrm>
                    <a:prstGeom prst="rect">
                      <a:avLst/>
                    </a:prstGeom>
                  </pic:spPr>
                </pic:pic>
              </a:graphicData>
            </a:graphic>
          </wp:anchor>
        </w:drawing>
      </w:r>
      <w:r>
        <w:rPr>
          <w:noProof/>
        </w:rPr>
        <w:drawing>
          <wp:anchor distT="0" distB="0" distL="0" distR="0" simplePos="0" relativeHeight="251663360" behindDoc="1" locked="0" layoutInCell="1" allowOverlap="1" wp14:anchorId="64FCB79C" wp14:editId="4E1CDAC0">
            <wp:simplePos x="0" y="0"/>
            <wp:positionH relativeFrom="page">
              <wp:posOffset>1828800</wp:posOffset>
            </wp:positionH>
            <wp:positionV relativeFrom="page">
              <wp:posOffset>4673600</wp:posOffset>
            </wp:positionV>
            <wp:extent cx="927100" cy="393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927100" cy="393700"/>
                    </a:xfrm>
                    <a:prstGeom prst="rect">
                      <a:avLst/>
                    </a:prstGeom>
                  </pic:spPr>
                </pic:pic>
              </a:graphicData>
            </a:graphic>
          </wp:anchor>
        </w:drawing>
      </w:r>
    </w:p>
    <w:tbl>
      <w:tblPr>
        <w:tblW w:w="0" w:type="auto"/>
        <w:tblInd w:w="2" w:type="dxa"/>
        <w:tblLayout w:type="fixed"/>
        <w:tblLook w:val="04A0" w:firstRow="1" w:lastRow="0" w:firstColumn="1" w:lastColumn="0" w:noHBand="0" w:noVBand="1"/>
      </w:tblPr>
      <w:tblGrid>
        <w:gridCol w:w="3622"/>
        <w:gridCol w:w="6402"/>
      </w:tblGrid>
      <w:tr w:rsidR="00FA6DE4" w14:paraId="2AEC5EAF" w14:textId="77777777">
        <w:trPr>
          <w:trHeight w:hRule="exact" w:val="274"/>
        </w:trPr>
        <w:tc>
          <w:tcPr>
            <w:tcW w:w="3622" w:type="dxa"/>
            <w:tcBorders>
              <w:bottom w:val="single" w:sz="2" w:space="0" w:color="221F1F"/>
            </w:tcBorders>
            <w:tcMar>
              <w:left w:w="0" w:type="dxa"/>
              <w:right w:w="0" w:type="dxa"/>
            </w:tcMar>
          </w:tcPr>
          <w:p w14:paraId="54DD1E5C" w14:textId="77777777" w:rsidR="00FA6DE4" w:rsidRDefault="00000000">
            <w:pPr>
              <w:autoSpaceDE w:val="0"/>
              <w:autoSpaceDN w:val="0"/>
              <w:spacing w:after="0" w:line="234" w:lineRule="exact"/>
              <w:ind w:left="2"/>
            </w:pPr>
            <w:r>
              <w:rPr>
                <w:rFonts w:ascii="GillSansMTPro" w:eastAsia="GillSansMTPro" w:hAnsi="GillSansMTPro"/>
                <w:color w:val="221F1F"/>
                <w:sz w:val="20"/>
              </w:rPr>
              <w:t>4</w:t>
            </w:r>
          </w:p>
        </w:tc>
        <w:tc>
          <w:tcPr>
            <w:tcW w:w="6402" w:type="dxa"/>
            <w:tcBorders>
              <w:bottom w:val="single" w:sz="2" w:space="0" w:color="221F1F"/>
            </w:tcBorders>
            <w:tcMar>
              <w:left w:w="0" w:type="dxa"/>
              <w:right w:w="0" w:type="dxa"/>
            </w:tcMar>
          </w:tcPr>
          <w:p w14:paraId="41E28A9C" w14:textId="77777777" w:rsidR="00FA6DE4" w:rsidRDefault="00000000">
            <w:pPr>
              <w:autoSpaceDE w:val="0"/>
              <w:autoSpaceDN w:val="0"/>
              <w:spacing w:after="0" w:line="232" w:lineRule="exact"/>
              <w:ind w:right="2"/>
              <w:jc w:val="right"/>
            </w:pPr>
            <w:r>
              <w:rPr>
                <w:rFonts w:ascii="GillSansMTPro" w:eastAsia="GillSansMTPro" w:hAnsi="GillSansMTPro"/>
                <w:i/>
                <w:color w:val="221F1F"/>
                <w:sz w:val="20"/>
              </w:rPr>
              <w:t>Journal of Transcultural Nursing 00(0)</w:t>
            </w:r>
          </w:p>
        </w:tc>
      </w:tr>
    </w:tbl>
    <w:p w14:paraId="48F93B83" w14:textId="77777777" w:rsidR="00FA6DE4" w:rsidRDefault="00000000">
      <w:pPr>
        <w:autoSpaceDE w:val="0"/>
        <w:autoSpaceDN w:val="0"/>
        <w:spacing w:before="376" w:after="0" w:line="230" w:lineRule="exact"/>
        <w:ind w:left="4"/>
      </w:pPr>
      <w:r>
        <w:rPr>
          <w:rFonts w:ascii="GillSansMTPro" w:eastAsia="GillSansMTPro" w:hAnsi="GillSansMTPro"/>
          <w:b/>
          <w:color w:val="221F1F"/>
          <w:sz w:val="18"/>
        </w:rPr>
        <w:t>Table 1.</w:t>
      </w:r>
      <w:r>
        <w:rPr>
          <w:rFonts w:ascii="GillSansMTPro" w:eastAsia="GillSansMTPro" w:hAnsi="GillSansMTPro"/>
          <w:color w:val="221F1F"/>
          <w:sz w:val="18"/>
        </w:rPr>
        <w:t xml:space="preserve"> Recruitment Type and Child Race/Ethnicity (</w:t>
      </w:r>
      <w:r>
        <w:rPr>
          <w:rFonts w:ascii="GillSansMTPro" w:eastAsia="GillSansMTPro" w:hAnsi="GillSansMTPro"/>
          <w:i/>
          <w:color w:val="221F1F"/>
          <w:sz w:val="18"/>
        </w:rPr>
        <w:t>N</w:t>
      </w:r>
      <w:r>
        <w:rPr>
          <w:rFonts w:ascii="MathematicalPiLTStd" w:eastAsia="MathematicalPiLTStd" w:hAnsi="MathematicalPiLTStd"/>
          <w:color w:val="221F1F"/>
          <w:sz w:val="18"/>
        </w:rPr>
        <w:t>=</w:t>
      </w:r>
      <w:r>
        <w:rPr>
          <w:rFonts w:ascii="GillSansMTPro" w:eastAsia="GillSansMTPro" w:hAnsi="GillSansMTPro"/>
          <w:color w:val="221F1F"/>
          <w:sz w:val="18"/>
        </w:rPr>
        <w:t xml:space="preserve"> 72).</w:t>
      </w:r>
    </w:p>
    <w:p w14:paraId="1C6CE590" w14:textId="77777777" w:rsidR="00FA6DE4" w:rsidRDefault="00000000">
      <w:pPr>
        <w:autoSpaceDE w:val="0"/>
        <w:autoSpaceDN w:val="0"/>
        <w:spacing w:before="148" w:after="92" w:line="210" w:lineRule="exact"/>
        <w:ind w:right="3482"/>
        <w:jc w:val="right"/>
      </w:pPr>
      <w:r>
        <w:rPr>
          <w:rFonts w:ascii="GillSansMTPro" w:eastAsia="GillSansMTPro" w:hAnsi="GillSansMTPro"/>
          <w:color w:val="221F1F"/>
          <w:sz w:val="18"/>
        </w:rPr>
        <w:t>Child race/ethnicity</w:t>
      </w:r>
    </w:p>
    <w:tbl>
      <w:tblPr>
        <w:tblW w:w="0" w:type="auto"/>
        <w:tblLayout w:type="fixed"/>
        <w:tblLook w:val="04A0" w:firstRow="1" w:lastRow="0" w:firstColumn="1" w:lastColumn="0" w:noHBand="0" w:noVBand="1"/>
      </w:tblPr>
      <w:tblGrid>
        <w:gridCol w:w="3196"/>
        <w:gridCol w:w="2448"/>
        <w:gridCol w:w="1760"/>
        <w:gridCol w:w="1278"/>
        <w:gridCol w:w="1346"/>
      </w:tblGrid>
      <w:tr w:rsidR="00FA6DE4" w14:paraId="23D082F3" w14:textId="77777777">
        <w:trPr>
          <w:trHeight w:hRule="exact" w:val="357"/>
        </w:trPr>
        <w:tc>
          <w:tcPr>
            <w:tcW w:w="3196" w:type="dxa"/>
            <w:tcBorders>
              <w:bottom w:val="single" w:sz="4" w:space="0" w:color="221F1F"/>
            </w:tcBorders>
            <w:tcMar>
              <w:left w:w="0" w:type="dxa"/>
              <w:right w:w="0" w:type="dxa"/>
            </w:tcMar>
          </w:tcPr>
          <w:p w14:paraId="18AF780B" w14:textId="77777777" w:rsidR="00FA6DE4" w:rsidRDefault="00000000">
            <w:pPr>
              <w:autoSpaceDE w:val="0"/>
              <w:autoSpaceDN w:val="0"/>
              <w:spacing w:before="68" w:after="0" w:line="210" w:lineRule="exact"/>
              <w:ind w:left="4"/>
            </w:pPr>
            <w:r>
              <w:rPr>
                <w:rFonts w:ascii="GillSansMTPro" w:eastAsia="GillSansMTPro" w:hAnsi="GillSansMTPro"/>
                <w:color w:val="221F1F"/>
                <w:sz w:val="18"/>
              </w:rPr>
              <w:t>Recruitment Type</w:t>
            </w:r>
          </w:p>
        </w:tc>
        <w:tc>
          <w:tcPr>
            <w:tcW w:w="2448" w:type="dxa"/>
            <w:tcBorders>
              <w:bottom w:val="single" w:sz="4" w:space="0" w:color="221F1F"/>
            </w:tcBorders>
            <w:tcMar>
              <w:left w:w="0" w:type="dxa"/>
              <w:right w:w="0" w:type="dxa"/>
            </w:tcMar>
          </w:tcPr>
          <w:p w14:paraId="1E9CF05A" w14:textId="77777777" w:rsidR="00FA6DE4" w:rsidRDefault="00000000">
            <w:pPr>
              <w:autoSpaceDE w:val="0"/>
              <w:autoSpaceDN w:val="0"/>
              <w:spacing w:before="70" w:after="0" w:line="208" w:lineRule="exact"/>
              <w:ind w:left="64"/>
            </w:pPr>
            <w:r>
              <w:rPr>
                <w:rFonts w:ascii="GillSansMTPro" w:eastAsia="GillSansMTPro" w:hAnsi="GillSansMTPro"/>
                <w:color w:val="221F1F"/>
                <w:sz w:val="18"/>
              </w:rPr>
              <w:t xml:space="preserve">White (non-Hispanic); </w:t>
            </w:r>
            <w:r>
              <w:rPr>
                <w:rFonts w:ascii="GillSansMTPro" w:eastAsia="GillSansMTPro" w:hAnsi="GillSansMTPro"/>
                <w:i/>
                <w:color w:val="221F1F"/>
                <w:sz w:val="18"/>
              </w:rPr>
              <w:t>n</w:t>
            </w:r>
            <w:r>
              <w:rPr>
                <w:rFonts w:ascii="GillSansMTPro" w:eastAsia="GillSansMTPro" w:hAnsi="GillSansMTPro"/>
                <w:color w:val="221F1F"/>
                <w:sz w:val="18"/>
              </w:rPr>
              <w:t xml:space="preserve"> (%)</w:t>
            </w:r>
          </w:p>
        </w:tc>
        <w:tc>
          <w:tcPr>
            <w:tcW w:w="1760" w:type="dxa"/>
            <w:tcBorders>
              <w:bottom w:val="single" w:sz="4" w:space="0" w:color="221F1F"/>
            </w:tcBorders>
            <w:tcMar>
              <w:left w:w="0" w:type="dxa"/>
              <w:right w:w="0" w:type="dxa"/>
            </w:tcMar>
          </w:tcPr>
          <w:p w14:paraId="05BD6293" w14:textId="77777777" w:rsidR="00FA6DE4" w:rsidRDefault="00000000">
            <w:pPr>
              <w:autoSpaceDE w:val="0"/>
              <w:autoSpaceDN w:val="0"/>
              <w:spacing w:before="70" w:after="0" w:line="208" w:lineRule="exact"/>
              <w:jc w:val="center"/>
            </w:pPr>
            <w:r>
              <w:rPr>
                <w:rFonts w:ascii="GillSansMTPro" w:eastAsia="GillSansMTPro" w:hAnsi="GillSansMTPro"/>
                <w:color w:val="221F1F"/>
                <w:sz w:val="18"/>
              </w:rPr>
              <w:t xml:space="preserve">Hispanic; </w:t>
            </w:r>
            <w:r>
              <w:rPr>
                <w:rFonts w:ascii="GillSansMTPro" w:eastAsia="GillSansMTPro" w:hAnsi="GillSansMTPro"/>
                <w:i/>
                <w:color w:val="221F1F"/>
                <w:sz w:val="18"/>
              </w:rPr>
              <w:t>n</w:t>
            </w:r>
            <w:r>
              <w:rPr>
                <w:rFonts w:ascii="GillSansMTPro" w:eastAsia="GillSansMTPro" w:hAnsi="GillSansMTPro"/>
                <w:color w:val="221F1F"/>
                <w:sz w:val="18"/>
              </w:rPr>
              <w:t xml:space="preserve"> (%)</w:t>
            </w:r>
          </w:p>
        </w:tc>
        <w:tc>
          <w:tcPr>
            <w:tcW w:w="1278" w:type="dxa"/>
            <w:tcBorders>
              <w:bottom w:val="single" w:sz="4" w:space="0" w:color="221F1F"/>
            </w:tcBorders>
            <w:tcMar>
              <w:left w:w="0" w:type="dxa"/>
              <w:right w:w="0" w:type="dxa"/>
            </w:tcMar>
          </w:tcPr>
          <w:p w14:paraId="4D7B4584" w14:textId="77777777" w:rsidR="00FA6DE4" w:rsidRDefault="00000000">
            <w:pPr>
              <w:autoSpaceDE w:val="0"/>
              <w:autoSpaceDN w:val="0"/>
              <w:spacing w:before="70" w:after="0" w:line="208" w:lineRule="exact"/>
              <w:ind w:right="22"/>
              <w:jc w:val="right"/>
            </w:pPr>
            <w:r>
              <w:rPr>
                <w:rFonts w:ascii="GillSansMTPro" w:eastAsia="GillSansMTPro" w:hAnsi="GillSansMTPro"/>
                <w:color w:val="221F1F"/>
                <w:sz w:val="18"/>
              </w:rPr>
              <w:t xml:space="preserve">Other; </w:t>
            </w:r>
            <w:r>
              <w:rPr>
                <w:rFonts w:ascii="GillSansMTPro" w:eastAsia="GillSansMTPro" w:hAnsi="GillSansMTPro"/>
                <w:i/>
                <w:color w:val="221F1F"/>
                <w:sz w:val="18"/>
              </w:rPr>
              <w:t>n</w:t>
            </w:r>
            <w:r>
              <w:rPr>
                <w:rFonts w:ascii="GillSansMTPro" w:eastAsia="GillSansMTPro" w:hAnsi="GillSansMTPro"/>
                <w:color w:val="221F1F"/>
                <w:sz w:val="18"/>
              </w:rPr>
              <w:t xml:space="preserve"> (%)</w:t>
            </w:r>
          </w:p>
        </w:tc>
        <w:tc>
          <w:tcPr>
            <w:tcW w:w="1346" w:type="dxa"/>
            <w:tcBorders>
              <w:bottom w:val="single" w:sz="4" w:space="0" w:color="221F1F"/>
            </w:tcBorders>
            <w:tcMar>
              <w:left w:w="0" w:type="dxa"/>
              <w:right w:w="0" w:type="dxa"/>
            </w:tcMar>
          </w:tcPr>
          <w:p w14:paraId="0D26C7ED" w14:textId="77777777" w:rsidR="00FA6DE4" w:rsidRDefault="00000000">
            <w:pPr>
              <w:autoSpaceDE w:val="0"/>
              <w:autoSpaceDN w:val="0"/>
              <w:spacing w:before="70" w:after="0" w:line="208" w:lineRule="exact"/>
              <w:ind w:right="196"/>
              <w:jc w:val="right"/>
            </w:pPr>
            <w:r>
              <w:rPr>
                <w:rFonts w:ascii="GillSansMTPro" w:eastAsia="GillSansMTPro" w:hAnsi="GillSansMTPro"/>
                <w:color w:val="221F1F"/>
                <w:sz w:val="18"/>
              </w:rPr>
              <w:t>Total</w:t>
            </w:r>
          </w:p>
        </w:tc>
      </w:tr>
      <w:tr w:rsidR="00FA6DE4" w14:paraId="770E1060" w14:textId="77777777">
        <w:trPr>
          <w:trHeight w:hRule="exact" w:val="284"/>
        </w:trPr>
        <w:tc>
          <w:tcPr>
            <w:tcW w:w="3196" w:type="dxa"/>
            <w:tcBorders>
              <w:top w:val="single" w:sz="4" w:space="0" w:color="221F1F"/>
            </w:tcBorders>
            <w:tcMar>
              <w:left w:w="0" w:type="dxa"/>
              <w:right w:w="0" w:type="dxa"/>
            </w:tcMar>
          </w:tcPr>
          <w:p w14:paraId="113C726E" w14:textId="77777777" w:rsidR="00FA6DE4" w:rsidRDefault="00000000">
            <w:pPr>
              <w:autoSpaceDE w:val="0"/>
              <w:autoSpaceDN w:val="0"/>
              <w:spacing w:before="64" w:after="0" w:line="210" w:lineRule="exact"/>
              <w:ind w:left="4"/>
            </w:pPr>
            <w:r>
              <w:rPr>
                <w:rFonts w:ascii="GillSansMTPro" w:eastAsia="GillSansMTPro" w:hAnsi="GillSansMTPro"/>
                <w:color w:val="221F1F"/>
                <w:sz w:val="18"/>
              </w:rPr>
              <w:t>Flyers (sent home)</w:t>
            </w:r>
          </w:p>
        </w:tc>
        <w:tc>
          <w:tcPr>
            <w:tcW w:w="2448" w:type="dxa"/>
            <w:tcBorders>
              <w:top w:val="single" w:sz="4" w:space="0" w:color="221F1F"/>
            </w:tcBorders>
            <w:tcMar>
              <w:left w:w="0" w:type="dxa"/>
              <w:right w:w="0" w:type="dxa"/>
            </w:tcMar>
          </w:tcPr>
          <w:p w14:paraId="56FEAABE" w14:textId="77777777" w:rsidR="00FA6DE4" w:rsidRDefault="00000000">
            <w:pPr>
              <w:autoSpaceDE w:val="0"/>
              <w:autoSpaceDN w:val="0"/>
              <w:spacing w:before="64" w:after="0" w:line="210" w:lineRule="exact"/>
              <w:ind w:right="1312"/>
              <w:jc w:val="right"/>
            </w:pPr>
            <w:r>
              <w:rPr>
                <w:rFonts w:ascii="GillSansMTPro" w:eastAsia="GillSansMTPro" w:hAnsi="GillSansMTPro"/>
                <w:color w:val="221F1F"/>
                <w:sz w:val="18"/>
              </w:rPr>
              <w:t>0</w:t>
            </w:r>
          </w:p>
        </w:tc>
        <w:tc>
          <w:tcPr>
            <w:tcW w:w="1760" w:type="dxa"/>
            <w:tcBorders>
              <w:top w:val="single" w:sz="4" w:space="0" w:color="221F1F"/>
            </w:tcBorders>
            <w:tcMar>
              <w:left w:w="0" w:type="dxa"/>
              <w:right w:w="0" w:type="dxa"/>
            </w:tcMar>
          </w:tcPr>
          <w:p w14:paraId="02E9317D" w14:textId="77777777" w:rsidR="00FA6DE4" w:rsidRDefault="00000000">
            <w:pPr>
              <w:autoSpaceDE w:val="0"/>
              <w:autoSpaceDN w:val="0"/>
              <w:spacing w:before="64" w:after="0" w:line="210" w:lineRule="exact"/>
              <w:jc w:val="center"/>
            </w:pPr>
            <w:r>
              <w:rPr>
                <w:rFonts w:ascii="GillSansMTPro" w:eastAsia="GillSansMTPro" w:hAnsi="GillSansMTPro"/>
                <w:color w:val="221F1F"/>
                <w:sz w:val="18"/>
              </w:rPr>
              <w:t>0</w:t>
            </w:r>
          </w:p>
        </w:tc>
        <w:tc>
          <w:tcPr>
            <w:tcW w:w="1278" w:type="dxa"/>
            <w:tcBorders>
              <w:top w:val="single" w:sz="4" w:space="0" w:color="221F1F"/>
            </w:tcBorders>
            <w:tcMar>
              <w:left w:w="0" w:type="dxa"/>
              <w:right w:w="0" w:type="dxa"/>
            </w:tcMar>
          </w:tcPr>
          <w:p w14:paraId="471C428E" w14:textId="77777777" w:rsidR="00FA6DE4" w:rsidRDefault="00000000">
            <w:pPr>
              <w:autoSpaceDE w:val="0"/>
              <w:autoSpaceDN w:val="0"/>
              <w:spacing w:before="64" w:after="0" w:line="210" w:lineRule="exact"/>
              <w:ind w:right="440"/>
              <w:jc w:val="right"/>
            </w:pPr>
            <w:r>
              <w:rPr>
                <w:rFonts w:ascii="GillSansMTPro" w:eastAsia="GillSansMTPro" w:hAnsi="GillSansMTPro"/>
                <w:color w:val="221F1F"/>
                <w:sz w:val="18"/>
              </w:rPr>
              <w:t>0</w:t>
            </w:r>
          </w:p>
        </w:tc>
        <w:tc>
          <w:tcPr>
            <w:tcW w:w="1346" w:type="dxa"/>
            <w:tcBorders>
              <w:top w:val="single" w:sz="4" w:space="0" w:color="221F1F"/>
            </w:tcBorders>
            <w:tcMar>
              <w:left w:w="0" w:type="dxa"/>
              <w:right w:w="0" w:type="dxa"/>
            </w:tcMar>
          </w:tcPr>
          <w:p w14:paraId="223219A2" w14:textId="77777777" w:rsidR="00FA6DE4" w:rsidRDefault="00000000">
            <w:pPr>
              <w:autoSpaceDE w:val="0"/>
              <w:autoSpaceDN w:val="0"/>
              <w:spacing w:before="64" w:after="0" w:line="210" w:lineRule="exact"/>
              <w:ind w:right="344"/>
              <w:jc w:val="right"/>
            </w:pPr>
            <w:r>
              <w:rPr>
                <w:rFonts w:ascii="GillSansMTPro" w:eastAsia="GillSansMTPro" w:hAnsi="GillSansMTPro"/>
                <w:color w:val="221F1F"/>
                <w:sz w:val="18"/>
              </w:rPr>
              <w:t>0</w:t>
            </w:r>
          </w:p>
        </w:tc>
      </w:tr>
      <w:tr w:rsidR="00FA6DE4" w14:paraId="5DB999D0" w14:textId="77777777">
        <w:trPr>
          <w:trHeight w:hRule="exact" w:val="220"/>
        </w:trPr>
        <w:tc>
          <w:tcPr>
            <w:tcW w:w="3196" w:type="dxa"/>
            <w:tcMar>
              <w:left w:w="0" w:type="dxa"/>
              <w:right w:w="0" w:type="dxa"/>
            </w:tcMar>
          </w:tcPr>
          <w:p w14:paraId="71971960" w14:textId="77777777" w:rsidR="00FA6DE4" w:rsidRDefault="00000000">
            <w:pPr>
              <w:autoSpaceDE w:val="0"/>
              <w:autoSpaceDN w:val="0"/>
              <w:spacing w:before="10" w:after="0" w:line="210" w:lineRule="exact"/>
              <w:ind w:left="4"/>
            </w:pPr>
            <w:r>
              <w:rPr>
                <w:rFonts w:ascii="GillSansMTPro" w:eastAsia="GillSansMTPro" w:hAnsi="GillSansMTPro"/>
                <w:color w:val="221F1F"/>
                <w:sz w:val="18"/>
              </w:rPr>
              <w:t>Flyers (libraries and the YMCA)</w:t>
            </w:r>
          </w:p>
        </w:tc>
        <w:tc>
          <w:tcPr>
            <w:tcW w:w="2448" w:type="dxa"/>
            <w:tcMar>
              <w:left w:w="0" w:type="dxa"/>
              <w:right w:w="0" w:type="dxa"/>
            </w:tcMar>
          </w:tcPr>
          <w:p w14:paraId="4CB5644C" w14:textId="77777777" w:rsidR="00FA6DE4" w:rsidRDefault="00000000">
            <w:pPr>
              <w:autoSpaceDE w:val="0"/>
              <w:autoSpaceDN w:val="0"/>
              <w:spacing w:before="10" w:after="0" w:line="210" w:lineRule="exact"/>
              <w:ind w:right="996"/>
              <w:jc w:val="right"/>
            </w:pPr>
            <w:r>
              <w:rPr>
                <w:rFonts w:ascii="GillSansMTPro" w:eastAsia="GillSansMTPro" w:hAnsi="GillSansMTPro"/>
                <w:color w:val="221F1F"/>
                <w:sz w:val="18"/>
              </w:rPr>
              <w:t>21 (29.2)</w:t>
            </w:r>
          </w:p>
        </w:tc>
        <w:tc>
          <w:tcPr>
            <w:tcW w:w="1760" w:type="dxa"/>
            <w:tcMar>
              <w:left w:w="0" w:type="dxa"/>
              <w:right w:w="0" w:type="dxa"/>
            </w:tcMar>
          </w:tcPr>
          <w:p w14:paraId="65D58B27" w14:textId="77777777" w:rsidR="00FA6DE4" w:rsidRDefault="00000000">
            <w:pPr>
              <w:autoSpaceDE w:val="0"/>
              <w:autoSpaceDN w:val="0"/>
              <w:spacing w:before="10" w:after="0" w:line="210" w:lineRule="exact"/>
              <w:ind w:right="578"/>
              <w:jc w:val="right"/>
            </w:pPr>
            <w:r>
              <w:rPr>
                <w:rFonts w:ascii="GillSansMTPro" w:eastAsia="GillSansMTPro" w:hAnsi="GillSansMTPro"/>
                <w:color w:val="221F1F"/>
                <w:sz w:val="18"/>
              </w:rPr>
              <w:t>1 (1.4)</w:t>
            </w:r>
          </w:p>
        </w:tc>
        <w:tc>
          <w:tcPr>
            <w:tcW w:w="1278" w:type="dxa"/>
            <w:tcMar>
              <w:left w:w="0" w:type="dxa"/>
              <w:right w:w="0" w:type="dxa"/>
            </w:tcMar>
          </w:tcPr>
          <w:p w14:paraId="4C484550" w14:textId="77777777" w:rsidR="00FA6DE4" w:rsidRDefault="00000000">
            <w:pPr>
              <w:autoSpaceDE w:val="0"/>
              <w:autoSpaceDN w:val="0"/>
              <w:spacing w:before="10" w:after="0" w:line="210" w:lineRule="exact"/>
              <w:ind w:right="210"/>
              <w:jc w:val="right"/>
            </w:pPr>
            <w:r>
              <w:rPr>
                <w:rFonts w:ascii="GillSansMTPro" w:eastAsia="GillSansMTPro" w:hAnsi="GillSansMTPro"/>
                <w:color w:val="221F1F"/>
                <w:sz w:val="18"/>
              </w:rPr>
              <w:t>2 (2.8)</w:t>
            </w:r>
          </w:p>
        </w:tc>
        <w:tc>
          <w:tcPr>
            <w:tcW w:w="1346" w:type="dxa"/>
            <w:tcMar>
              <w:left w:w="0" w:type="dxa"/>
              <w:right w:w="0" w:type="dxa"/>
            </w:tcMar>
          </w:tcPr>
          <w:p w14:paraId="0B97E85B" w14:textId="77777777" w:rsidR="00FA6DE4" w:rsidRDefault="00000000">
            <w:pPr>
              <w:autoSpaceDE w:val="0"/>
              <w:autoSpaceDN w:val="0"/>
              <w:spacing w:before="10" w:after="0" w:line="210" w:lineRule="exact"/>
              <w:ind w:right="28"/>
              <w:jc w:val="right"/>
            </w:pPr>
            <w:r>
              <w:rPr>
                <w:rFonts w:ascii="GillSansMTPro" w:eastAsia="GillSansMTPro" w:hAnsi="GillSansMTPro"/>
                <w:color w:val="221F1F"/>
                <w:sz w:val="18"/>
              </w:rPr>
              <w:t>24 (33.3)</w:t>
            </w:r>
          </w:p>
        </w:tc>
      </w:tr>
      <w:tr w:rsidR="00FA6DE4" w14:paraId="62D489E4" w14:textId="77777777">
        <w:trPr>
          <w:trHeight w:hRule="exact" w:val="240"/>
        </w:trPr>
        <w:tc>
          <w:tcPr>
            <w:tcW w:w="3196" w:type="dxa"/>
            <w:tcMar>
              <w:left w:w="0" w:type="dxa"/>
              <w:right w:w="0" w:type="dxa"/>
            </w:tcMar>
          </w:tcPr>
          <w:p w14:paraId="344EA797" w14:textId="77777777" w:rsidR="00FA6DE4" w:rsidRDefault="00000000">
            <w:pPr>
              <w:autoSpaceDE w:val="0"/>
              <w:autoSpaceDN w:val="0"/>
              <w:spacing w:before="24" w:after="0" w:line="210" w:lineRule="exact"/>
              <w:ind w:left="4"/>
            </w:pPr>
            <w:r>
              <w:rPr>
                <w:rFonts w:ascii="GillSansMTPro" w:eastAsia="GillSansMTPro" w:hAnsi="GillSansMTPro"/>
                <w:color w:val="221F1F"/>
                <w:sz w:val="18"/>
              </w:rPr>
              <w:t>Media announcements (school)</w:t>
            </w:r>
          </w:p>
        </w:tc>
        <w:tc>
          <w:tcPr>
            <w:tcW w:w="2448" w:type="dxa"/>
            <w:tcMar>
              <w:left w:w="0" w:type="dxa"/>
              <w:right w:w="0" w:type="dxa"/>
            </w:tcMar>
          </w:tcPr>
          <w:p w14:paraId="48801C54" w14:textId="77777777" w:rsidR="00FA6DE4" w:rsidRDefault="00000000">
            <w:pPr>
              <w:autoSpaceDE w:val="0"/>
              <w:autoSpaceDN w:val="0"/>
              <w:spacing w:before="24" w:after="0" w:line="210" w:lineRule="exact"/>
              <w:ind w:right="1086"/>
              <w:jc w:val="right"/>
            </w:pPr>
            <w:r>
              <w:rPr>
                <w:rFonts w:ascii="GillSansMTPro" w:eastAsia="GillSansMTPro" w:hAnsi="GillSansMTPro"/>
                <w:color w:val="221F1F"/>
                <w:sz w:val="18"/>
              </w:rPr>
              <w:t>1 (1.4)</w:t>
            </w:r>
          </w:p>
        </w:tc>
        <w:tc>
          <w:tcPr>
            <w:tcW w:w="1760" w:type="dxa"/>
            <w:tcMar>
              <w:left w:w="0" w:type="dxa"/>
              <w:right w:w="0" w:type="dxa"/>
            </w:tcMar>
          </w:tcPr>
          <w:p w14:paraId="75CB9F80" w14:textId="77777777" w:rsidR="00FA6DE4" w:rsidRDefault="00000000">
            <w:pPr>
              <w:autoSpaceDE w:val="0"/>
              <w:autoSpaceDN w:val="0"/>
              <w:spacing w:before="24" w:after="0" w:line="210" w:lineRule="exact"/>
              <w:jc w:val="center"/>
            </w:pPr>
            <w:r>
              <w:rPr>
                <w:rFonts w:ascii="GillSansMTPro" w:eastAsia="GillSansMTPro" w:hAnsi="GillSansMTPro"/>
                <w:color w:val="221F1F"/>
                <w:sz w:val="18"/>
              </w:rPr>
              <w:t>0</w:t>
            </w:r>
          </w:p>
        </w:tc>
        <w:tc>
          <w:tcPr>
            <w:tcW w:w="1278" w:type="dxa"/>
            <w:tcMar>
              <w:left w:w="0" w:type="dxa"/>
              <w:right w:w="0" w:type="dxa"/>
            </w:tcMar>
          </w:tcPr>
          <w:p w14:paraId="1FB2DB4D" w14:textId="77777777" w:rsidR="00FA6DE4" w:rsidRDefault="00000000">
            <w:pPr>
              <w:autoSpaceDE w:val="0"/>
              <w:autoSpaceDN w:val="0"/>
              <w:spacing w:before="24" w:after="0" w:line="210" w:lineRule="exact"/>
              <w:ind w:right="440"/>
              <w:jc w:val="right"/>
            </w:pPr>
            <w:r>
              <w:rPr>
                <w:rFonts w:ascii="GillSansMTPro" w:eastAsia="GillSansMTPro" w:hAnsi="GillSansMTPro"/>
                <w:color w:val="221F1F"/>
                <w:sz w:val="18"/>
              </w:rPr>
              <w:t>0</w:t>
            </w:r>
          </w:p>
        </w:tc>
        <w:tc>
          <w:tcPr>
            <w:tcW w:w="1346" w:type="dxa"/>
            <w:tcMar>
              <w:left w:w="0" w:type="dxa"/>
              <w:right w:w="0" w:type="dxa"/>
            </w:tcMar>
          </w:tcPr>
          <w:p w14:paraId="2B93DEBC" w14:textId="77777777" w:rsidR="00FA6DE4" w:rsidRDefault="00000000">
            <w:pPr>
              <w:autoSpaceDE w:val="0"/>
              <w:autoSpaceDN w:val="0"/>
              <w:spacing w:before="24" w:after="0" w:line="210" w:lineRule="exact"/>
              <w:ind w:right="118"/>
              <w:jc w:val="right"/>
            </w:pPr>
            <w:r>
              <w:rPr>
                <w:rFonts w:ascii="GillSansMTPro" w:eastAsia="GillSansMTPro" w:hAnsi="GillSansMTPro"/>
                <w:color w:val="221F1F"/>
                <w:sz w:val="18"/>
              </w:rPr>
              <w:t>1 (1.4)</w:t>
            </w:r>
          </w:p>
        </w:tc>
      </w:tr>
      <w:tr w:rsidR="00FA6DE4" w14:paraId="38984114" w14:textId="77777777">
        <w:trPr>
          <w:trHeight w:hRule="exact" w:val="220"/>
        </w:trPr>
        <w:tc>
          <w:tcPr>
            <w:tcW w:w="3196" w:type="dxa"/>
            <w:tcMar>
              <w:left w:w="0" w:type="dxa"/>
              <w:right w:w="0" w:type="dxa"/>
            </w:tcMar>
          </w:tcPr>
          <w:p w14:paraId="0EBAE77E" w14:textId="77777777" w:rsidR="00FA6DE4" w:rsidRDefault="00000000">
            <w:pPr>
              <w:autoSpaceDE w:val="0"/>
              <w:autoSpaceDN w:val="0"/>
              <w:spacing w:before="10" w:after="0" w:line="210" w:lineRule="exact"/>
              <w:ind w:left="4"/>
            </w:pPr>
            <w:r>
              <w:rPr>
                <w:rFonts w:ascii="GillSansMTPro" w:eastAsia="GillSansMTPro" w:hAnsi="GillSansMTPro"/>
                <w:color w:val="221F1F"/>
                <w:sz w:val="18"/>
              </w:rPr>
              <w:t>Referrals</w:t>
            </w:r>
          </w:p>
        </w:tc>
        <w:tc>
          <w:tcPr>
            <w:tcW w:w="2448" w:type="dxa"/>
            <w:tcMar>
              <w:left w:w="0" w:type="dxa"/>
              <w:right w:w="0" w:type="dxa"/>
            </w:tcMar>
          </w:tcPr>
          <w:p w14:paraId="334F8353" w14:textId="77777777" w:rsidR="00FA6DE4" w:rsidRDefault="00000000">
            <w:pPr>
              <w:autoSpaceDE w:val="0"/>
              <w:autoSpaceDN w:val="0"/>
              <w:spacing w:before="10" w:after="0" w:line="210" w:lineRule="exact"/>
              <w:ind w:right="996"/>
              <w:jc w:val="right"/>
            </w:pPr>
            <w:r>
              <w:rPr>
                <w:rFonts w:ascii="GillSansMTPro" w:eastAsia="GillSansMTPro" w:hAnsi="GillSansMTPro"/>
                <w:color w:val="221F1F"/>
                <w:sz w:val="18"/>
              </w:rPr>
              <w:t>14 (19.4)</w:t>
            </w:r>
          </w:p>
        </w:tc>
        <w:tc>
          <w:tcPr>
            <w:tcW w:w="1760" w:type="dxa"/>
            <w:tcMar>
              <w:left w:w="0" w:type="dxa"/>
              <w:right w:w="0" w:type="dxa"/>
            </w:tcMar>
          </w:tcPr>
          <w:p w14:paraId="0C6DC39F" w14:textId="77777777" w:rsidR="00FA6DE4" w:rsidRDefault="00000000">
            <w:pPr>
              <w:autoSpaceDE w:val="0"/>
              <w:autoSpaceDN w:val="0"/>
              <w:spacing w:before="10" w:after="0" w:line="210" w:lineRule="exact"/>
              <w:ind w:right="488"/>
              <w:jc w:val="right"/>
            </w:pPr>
            <w:r>
              <w:rPr>
                <w:rFonts w:ascii="GillSansMTPro" w:eastAsia="GillSansMTPro" w:hAnsi="GillSansMTPro"/>
                <w:color w:val="221F1F"/>
                <w:sz w:val="18"/>
              </w:rPr>
              <w:t>20 (27.8)</w:t>
            </w:r>
          </w:p>
        </w:tc>
        <w:tc>
          <w:tcPr>
            <w:tcW w:w="1278" w:type="dxa"/>
            <w:tcMar>
              <w:left w:w="0" w:type="dxa"/>
              <w:right w:w="0" w:type="dxa"/>
            </w:tcMar>
          </w:tcPr>
          <w:p w14:paraId="69F674A4" w14:textId="77777777" w:rsidR="00FA6DE4" w:rsidRDefault="00000000">
            <w:pPr>
              <w:autoSpaceDE w:val="0"/>
              <w:autoSpaceDN w:val="0"/>
              <w:spacing w:before="10" w:after="0" w:line="210" w:lineRule="exact"/>
              <w:ind w:right="210"/>
              <w:jc w:val="right"/>
            </w:pPr>
            <w:r>
              <w:rPr>
                <w:rFonts w:ascii="GillSansMTPro" w:eastAsia="GillSansMTPro" w:hAnsi="GillSansMTPro"/>
                <w:color w:val="221F1F"/>
                <w:sz w:val="18"/>
              </w:rPr>
              <w:t>1 (1.4)</w:t>
            </w:r>
          </w:p>
        </w:tc>
        <w:tc>
          <w:tcPr>
            <w:tcW w:w="1346" w:type="dxa"/>
            <w:tcMar>
              <w:left w:w="0" w:type="dxa"/>
              <w:right w:w="0" w:type="dxa"/>
            </w:tcMar>
          </w:tcPr>
          <w:p w14:paraId="2EE5952A" w14:textId="77777777" w:rsidR="00FA6DE4" w:rsidRDefault="00000000">
            <w:pPr>
              <w:autoSpaceDE w:val="0"/>
              <w:autoSpaceDN w:val="0"/>
              <w:spacing w:before="10" w:after="0" w:line="210" w:lineRule="exact"/>
              <w:ind w:right="28"/>
              <w:jc w:val="right"/>
            </w:pPr>
            <w:r>
              <w:rPr>
                <w:rFonts w:ascii="GillSansMTPro" w:eastAsia="GillSansMTPro" w:hAnsi="GillSansMTPro"/>
                <w:color w:val="221F1F"/>
                <w:sz w:val="18"/>
              </w:rPr>
              <w:t>35 (48.6)</w:t>
            </w:r>
          </w:p>
        </w:tc>
      </w:tr>
      <w:tr w:rsidR="00FA6DE4" w14:paraId="0C34E658" w14:textId="77777777">
        <w:trPr>
          <w:trHeight w:hRule="exact" w:val="240"/>
        </w:trPr>
        <w:tc>
          <w:tcPr>
            <w:tcW w:w="3196" w:type="dxa"/>
            <w:tcMar>
              <w:left w:w="0" w:type="dxa"/>
              <w:right w:w="0" w:type="dxa"/>
            </w:tcMar>
          </w:tcPr>
          <w:p w14:paraId="4405676B" w14:textId="77777777" w:rsidR="00FA6DE4" w:rsidRDefault="00000000">
            <w:pPr>
              <w:autoSpaceDE w:val="0"/>
              <w:autoSpaceDN w:val="0"/>
              <w:spacing w:before="24" w:after="0" w:line="210" w:lineRule="exact"/>
              <w:ind w:left="4"/>
            </w:pPr>
            <w:r>
              <w:rPr>
                <w:rFonts w:ascii="GillSansMTPro" w:eastAsia="GillSansMTPro" w:hAnsi="GillSansMTPro"/>
                <w:color w:val="221F1F"/>
                <w:sz w:val="18"/>
              </w:rPr>
              <w:t>School district event (resource fair)</w:t>
            </w:r>
          </w:p>
        </w:tc>
        <w:tc>
          <w:tcPr>
            <w:tcW w:w="2448" w:type="dxa"/>
            <w:tcMar>
              <w:left w:w="0" w:type="dxa"/>
              <w:right w:w="0" w:type="dxa"/>
            </w:tcMar>
          </w:tcPr>
          <w:p w14:paraId="1E5D54D5" w14:textId="77777777" w:rsidR="00FA6DE4" w:rsidRDefault="00000000">
            <w:pPr>
              <w:autoSpaceDE w:val="0"/>
              <w:autoSpaceDN w:val="0"/>
              <w:spacing w:before="24" w:after="0" w:line="210" w:lineRule="exact"/>
              <w:ind w:right="1086"/>
              <w:jc w:val="right"/>
            </w:pPr>
            <w:r>
              <w:rPr>
                <w:rFonts w:ascii="GillSansMTPro" w:eastAsia="GillSansMTPro" w:hAnsi="GillSansMTPro"/>
                <w:color w:val="221F1F"/>
                <w:sz w:val="18"/>
              </w:rPr>
              <w:t>3 (4.2)</w:t>
            </w:r>
          </w:p>
        </w:tc>
        <w:tc>
          <w:tcPr>
            <w:tcW w:w="1760" w:type="dxa"/>
            <w:tcMar>
              <w:left w:w="0" w:type="dxa"/>
              <w:right w:w="0" w:type="dxa"/>
            </w:tcMar>
          </w:tcPr>
          <w:p w14:paraId="7D8C2480" w14:textId="77777777" w:rsidR="00FA6DE4" w:rsidRDefault="00000000">
            <w:pPr>
              <w:autoSpaceDE w:val="0"/>
              <w:autoSpaceDN w:val="0"/>
              <w:spacing w:before="24" w:after="0" w:line="210" w:lineRule="exact"/>
              <w:ind w:right="578"/>
              <w:jc w:val="right"/>
            </w:pPr>
            <w:r>
              <w:rPr>
                <w:rFonts w:ascii="GillSansMTPro" w:eastAsia="GillSansMTPro" w:hAnsi="GillSansMTPro"/>
                <w:color w:val="221F1F"/>
                <w:sz w:val="18"/>
              </w:rPr>
              <w:t>6 (8.3)</w:t>
            </w:r>
          </w:p>
        </w:tc>
        <w:tc>
          <w:tcPr>
            <w:tcW w:w="1278" w:type="dxa"/>
            <w:tcMar>
              <w:left w:w="0" w:type="dxa"/>
              <w:right w:w="0" w:type="dxa"/>
            </w:tcMar>
          </w:tcPr>
          <w:p w14:paraId="04613A64" w14:textId="77777777" w:rsidR="00FA6DE4" w:rsidRDefault="00000000">
            <w:pPr>
              <w:autoSpaceDE w:val="0"/>
              <w:autoSpaceDN w:val="0"/>
              <w:spacing w:before="24" w:after="0" w:line="210" w:lineRule="exact"/>
              <w:ind w:right="210"/>
              <w:jc w:val="right"/>
            </w:pPr>
            <w:r>
              <w:rPr>
                <w:rFonts w:ascii="GillSansMTPro" w:eastAsia="GillSansMTPro" w:hAnsi="GillSansMTPro"/>
                <w:color w:val="221F1F"/>
                <w:sz w:val="18"/>
              </w:rPr>
              <w:t>3 (4.2)</w:t>
            </w:r>
          </w:p>
        </w:tc>
        <w:tc>
          <w:tcPr>
            <w:tcW w:w="1346" w:type="dxa"/>
            <w:tcMar>
              <w:left w:w="0" w:type="dxa"/>
              <w:right w:w="0" w:type="dxa"/>
            </w:tcMar>
          </w:tcPr>
          <w:p w14:paraId="2109B36B" w14:textId="77777777" w:rsidR="00FA6DE4" w:rsidRDefault="00000000">
            <w:pPr>
              <w:autoSpaceDE w:val="0"/>
              <w:autoSpaceDN w:val="0"/>
              <w:spacing w:before="24" w:after="0" w:line="210" w:lineRule="exact"/>
              <w:ind w:right="28"/>
              <w:jc w:val="right"/>
            </w:pPr>
            <w:r>
              <w:rPr>
                <w:rFonts w:ascii="GillSansMTPro" w:eastAsia="GillSansMTPro" w:hAnsi="GillSansMTPro"/>
                <w:color w:val="221F1F"/>
                <w:sz w:val="18"/>
              </w:rPr>
              <w:t>12 (16.7)</w:t>
            </w:r>
          </w:p>
        </w:tc>
      </w:tr>
      <w:tr w:rsidR="00FA6DE4" w14:paraId="2BCFB3D0" w14:textId="77777777">
        <w:trPr>
          <w:trHeight w:hRule="exact" w:val="302"/>
        </w:trPr>
        <w:tc>
          <w:tcPr>
            <w:tcW w:w="3196" w:type="dxa"/>
            <w:tcBorders>
              <w:bottom w:val="single" w:sz="4" w:space="0" w:color="221F1F"/>
            </w:tcBorders>
            <w:tcMar>
              <w:left w:w="0" w:type="dxa"/>
              <w:right w:w="0" w:type="dxa"/>
            </w:tcMar>
          </w:tcPr>
          <w:p w14:paraId="6475629B" w14:textId="77777777" w:rsidR="00FA6DE4" w:rsidRDefault="00000000">
            <w:pPr>
              <w:autoSpaceDE w:val="0"/>
              <w:autoSpaceDN w:val="0"/>
              <w:spacing w:before="14" w:after="0" w:line="210" w:lineRule="exact"/>
              <w:ind w:left="4"/>
            </w:pPr>
            <w:r>
              <w:rPr>
                <w:rFonts w:ascii="GillSansMTPro" w:eastAsia="GillSansMTPro" w:hAnsi="GillSansMTPro"/>
                <w:color w:val="221F1F"/>
                <w:sz w:val="18"/>
              </w:rPr>
              <w:t>Total</w:t>
            </w:r>
          </w:p>
        </w:tc>
        <w:tc>
          <w:tcPr>
            <w:tcW w:w="2448" w:type="dxa"/>
            <w:tcBorders>
              <w:bottom w:val="single" w:sz="4" w:space="0" w:color="221F1F"/>
            </w:tcBorders>
            <w:tcMar>
              <w:left w:w="0" w:type="dxa"/>
              <w:right w:w="0" w:type="dxa"/>
            </w:tcMar>
          </w:tcPr>
          <w:p w14:paraId="0654CDB2" w14:textId="77777777" w:rsidR="00FA6DE4" w:rsidRDefault="00000000">
            <w:pPr>
              <w:autoSpaceDE w:val="0"/>
              <w:autoSpaceDN w:val="0"/>
              <w:spacing w:before="14" w:after="0" w:line="210" w:lineRule="exact"/>
              <w:ind w:right="996"/>
              <w:jc w:val="right"/>
            </w:pPr>
            <w:r>
              <w:rPr>
                <w:rFonts w:ascii="GillSansMTPro" w:eastAsia="GillSansMTPro" w:hAnsi="GillSansMTPro"/>
                <w:color w:val="221F1F"/>
                <w:sz w:val="18"/>
              </w:rPr>
              <w:t>39 (54.2)</w:t>
            </w:r>
          </w:p>
        </w:tc>
        <w:tc>
          <w:tcPr>
            <w:tcW w:w="1760" w:type="dxa"/>
            <w:tcBorders>
              <w:bottom w:val="single" w:sz="4" w:space="0" w:color="221F1F"/>
            </w:tcBorders>
            <w:tcMar>
              <w:left w:w="0" w:type="dxa"/>
              <w:right w:w="0" w:type="dxa"/>
            </w:tcMar>
          </w:tcPr>
          <w:p w14:paraId="7E63E307" w14:textId="77777777" w:rsidR="00FA6DE4" w:rsidRDefault="00000000">
            <w:pPr>
              <w:autoSpaceDE w:val="0"/>
              <w:autoSpaceDN w:val="0"/>
              <w:spacing w:before="14" w:after="0" w:line="210" w:lineRule="exact"/>
              <w:ind w:right="488"/>
              <w:jc w:val="right"/>
            </w:pPr>
            <w:r>
              <w:rPr>
                <w:rFonts w:ascii="GillSansMTPro" w:eastAsia="GillSansMTPro" w:hAnsi="GillSansMTPro"/>
                <w:color w:val="221F1F"/>
                <w:sz w:val="18"/>
              </w:rPr>
              <w:t>27 (37.5)</w:t>
            </w:r>
          </w:p>
        </w:tc>
        <w:tc>
          <w:tcPr>
            <w:tcW w:w="1278" w:type="dxa"/>
            <w:tcBorders>
              <w:bottom w:val="single" w:sz="4" w:space="0" w:color="221F1F"/>
            </w:tcBorders>
            <w:tcMar>
              <w:left w:w="0" w:type="dxa"/>
              <w:right w:w="0" w:type="dxa"/>
            </w:tcMar>
          </w:tcPr>
          <w:p w14:paraId="59097AAE" w14:textId="77777777" w:rsidR="00FA6DE4" w:rsidRDefault="00000000">
            <w:pPr>
              <w:autoSpaceDE w:val="0"/>
              <w:autoSpaceDN w:val="0"/>
              <w:spacing w:before="14" w:after="0" w:line="210" w:lineRule="exact"/>
              <w:ind w:right="210"/>
              <w:jc w:val="right"/>
            </w:pPr>
            <w:r>
              <w:rPr>
                <w:rFonts w:ascii="GillSansMTPro" w:eastAsia="GillSansMTPro" w:hAnsi="GillSansMTPro"/>
                <w:color w:val="221F1F"/>
                <w:sz w:val="18"/>
              </w:rPr>
              <w:t>6 (8.3)</w:t>
            </w:r>
          </w:p>
        </w:tc>
        <w:tc>
          <w:tcPr>
            <w:tcW w:w="1346" w:type="dxa"/>
            <w:tcBorders>
              <w:bottom w:val="single" w:sz="4" w:space="0" w:color="221F1F"/>
            </w:tcBorders>
            <w:tcMar>
              <w:left w:w="0" w:type="dxa"/>
              <w:right w:w="0" w:type="dxa"/>
            </w:tcMar>
          </w:tcPr>
          <w:p w14:paraId="5BB437DB" w14:textId="77777777" w:rsidR="00FA6DE4" w:rsidRDefault="00000000">
            <w:pPr>
              <w:autoSpaceDE w:val="0"/>
              <w:autoSpaceDN w:val="0"/>
              <w:spacing w:before="14" w:after="0" w:line="210" w:lineRule="exact"/>
              <w:ind w:right="68"/>
              <w:jc w:val="right"/>
            </w:pPr>
            <w:r>
              <w:rPr>
                <w:rFonts w:ascii="GillSansMTPro" w:eastAsia="GillSansMTPro" w:hAnsi="GillSansMTPro"/>
                <w:color w:val="221F1F"/>
                <w:sz w:val="18"/>
              </w:rPr>
              <w:t>72 (100)</w:t>
            </w:r>
          </w:p>
        </w:tc>
      </w:tr>
    </w:tbl>
    <w:p w14:paraId="5A31F193" w14:textId="77777777" w:rsidR="00FA6DE4" w:rsidRDefault="00FA6DE4">
      <w:pPr>
        <w:autoSpaceDE w:val="0"/>
        <w:autoSpaceDN w:val="0"/>
        <w:spacing w:after="0" w:line="460" w:lineRule="exact"/>
      </w:pPr>
    </w:p>
    <w:tbl>
      <w:tblPr>
        <w:tblW w:w="0" w:type="auto"/>
        <w:tblInd w:w="8" w:type="dxa"/>
        <w:tblLayout w:type="fixed"/>
        <w:tblLook w:val="04A0" w:firstRow="1" w:lastRow="0" w:firstColumn="1" w:lastColumn="0" w:noHBand="0" w:noVBand="1"/>
      </w:tblPr>
      <w:tblGrid>
        <w:gridCol w:w="10012"/>
      </w:tblGrid>
      <w:tr w:rsidR="00FA6DE4" w14:paraId="7D84EFC7" w14:textId="77777777">
        <w:trPr>
          <w:trHeight w:hRule="exact" w:val="3644"/>
        </w:trPr>
        <w:tc>
          <w:tcPr>
            <w:tcW w:w="10012" w:type="dxa"/>
            <w:tcBorders>
              <w:top w:val="single" w:sz="8" w:space="0" w:color="221F1F"/>
              <w:left w:val="single" w:sz="8" w:space="0" w:color="221F1F"/>
              <w:bottom w:val="single" w:sz="8" w:space="0" w:color="221F1F"/>
              <w:right w:val="single" w:sz="8" w:space="0" w:color="221F1F"/>
            </w:tcBorders>
            <w:tcMar>
              <w:left w:w="0" w:type="dxa"/>
              <w:right w:w="0" w:type="dxa"/>
            </w:tcMar>
          </w:tcPr>
          <w:p w14:paraId="490D8B63" w14:textId="77777777" w:rsidR="00FA6DE4" w:rsidRDefault="00000000">
            <w:pPr>
              <w:tabs>
                <w:tab w:val="left" w:pos="4028"/>
              </w:tabs>
              <w:autoSpaceDE w:val="0"/>
              <w:autoSpaceDN w:val="0"/>
              <w:spacing w:before="234" w:after="0" w:line="182" w:lineRule="exact"/>
              <w:ind w:left="2306"/>
            </w:pPr>
            <w:r>
              <w:rPr>
                <w:rFonts w:ascii="TimesNewRomanPSMT" w:eastAsia="TimesNewRomanPSMT" w:hAnsi="TimesNewRomanPSMT"/>
                <w:color w:val="221F1F"/>
                <w:sz w:val="16"/>
              </w:rPr>
              <w:t xml:space="preserve">Contacted </w:t>
            </w:r>
            <w:r>
              <w:tab/>
            </w:r>
            <w:r>
              <w:rPr>
                <w:rFonts w:ascii="TimesNewRomanPSMT" w:eastAsia="TimesNewRomanPSMT" w:hAnsi="TimesNewRomanPSMT"/>
                <w:color w:val="221F1F"/>
                <w:sz w:val="16"/>
              </w:rPr>
              <w:t>n=92</w:t>
            </w:r>
          </w:p>
          <w:p w14:paraId="27A93FE4" w14:textId="77777777" w:rsidR="00FA6DE4" w:rsidRDefault="00000000">
            <w:pPr>
              <w:autoSpaceDE w:val="0"/>
              <w:autoSpaceDN w:val="0"/>
              <w:spacing w:before="204" w:after="0" w:line="176" w:lineRule="exact"/>
              <w:ind w:right="3606"/>
              <w:jc w:val="right"/>
            </w:pPr>
            <w:r>
              <w:rPr>
                <w:rFonts w:ascii="TimesNewRomanPSMT" w:eastAsia="TimesNewRomanPSMT" w:hAnsi="TimesNewRomanPSMT"/>
                <w:color w:val="221F1F"/>
                <w:sz w:val="16"/>
              </w:rPr>
              <w:t>Excluded (n=15)</w:t>
            </w:r>
          </w:p>
          <w:p w14:paraId="2304C906" w14:textId="77777777" w:rsidR="00FA6DE4" w:rsidRDefault="00000000">
            <w:pPr>
              <w:autoSpaceDE w:val="0"/>
              <w:autoSpaceDN w:val="0"/>
              <w:spacing w:after="0" w:line="220" w:lineRule="exact"/>
              <w:ind w:right="2554"/>
              <w:jc w:val="right"/>
            </w:pPr>
            <w:r>
              <w:rPr>
                <w:rFonts w:ascii="SymbolMT" w:eastAsia="SymbolMT" w:hAnsi="SymbolMT"/>
                <w:color w:val="020404"/>
                <w:sz w:val="18"/>
              </w:rPr>
              <w:t>�</w:t>
            </w:r>
            <w:r>
              <w:rPr>
                <w:rFonts w:ascii="TimesNewRomanPSMT" w:eastAsia="TimesNewRomanPSMT" w:hAnsi="TimesNewRomanPSMT"/>
                <w:color w:val="221F1F"/>
                <w:sz w:val="16"/>
              </w:rPr>
              <w:t xml:space="preserve"> Inclusion criteria not met (n=2)</w:t>
            </w:r>
          </w:p>
          <w:p w14:paraId="09A0B1B1" w14:textId="77777777" w:rsidR="00FA6DE4" w:rsidRDefault="00000000">
            <w:pPr>
              <w:autoSpaceDE w:val="0"/>
              <w:autoSpaceDN w:val="0"/>
              <w:spacing w:after="0" w:line="220" w:lineRule="exact"/>
              <w:ind w:right="2742"/>
              <w:jc w:val="right"/>
            </w:pPr>
            <w:r>
              <w:rPr>
                <w:rFonts w:ascii="SymbolMT" w:eastAsia="SymbolMT" w:hAnsi="SymbolMT"/>
                <w:color w:val="020404"/>
                <w:sz w:val="18"/>
              </w:rPr>
              <w:t>�</w:t>
            </w:r>
            <w:r>
              <w:rPr>
                <w:rFonts w:ascii="TimesNewRomanPSMT" w:eastAsia="TimesNewRomanPSMT" w:hAnsi="TimesNewRomanPSMT"/>
                <w:color w:val="221F1F"/>
                <w:sz w:val="16"/>
              </w:rPr>
              <w:t xml:space="preserve"> Declined participation (n=5)</w:t>
            </w:r>
          </w:p>
          <w:p w14:paraId="74CD83DA" w14:textId="77777777" w:rsidR="00FA6DE4" w:rsidRDefault="00000000">
            <w:pPr>
              <w:autoSpaceDE w:val="0"/>
              <w:autoSpaceDN w:val="0"/>
              <w:spacing w:after="0" w:line="220" w:lineRule="exact"/>
              <w:ind w:right="3242"/>
              <w:jc w:val="right"/>
            </w:pPr>
            <w:r>
              <w:rPr>
                <w:rFonts w:ascii="SymbolMT" w:eastAsia="SymbolMT" w:hAnsi="SymbolMT"/>
                <w:color w:val="020404"/>
                <w:sz w:val="18"/>
              </w:rPr>
              <w:t>�</w:t>
            </w:r>
            <w:r>
              <w:rPr>
                <w:rFonts w:ascii="TimesNewRomanPSMT" w:eastAsia="TimesNewRomanPSMT" w:hAnsi="TimesNewRomanPSMT"/>
                <w:color w:val="221F1F"/>
                <w:sz w:val="16"/>
              </w:rPr>
              <w:t xml:space="preserve"> Never reached (n=8)</w:t>
            </w:r>
          </w:p>
          <w:p w14:paraId="0B483703" w14:textId="77777777" w:rsidR="00FA6DE4" w:rsidRDefault="00000000">
            <w:pPr>
              <w:tabs>
                <w:tab w:val="left" w:pos="3748"/>
              </w:tabs>
              <w:autoSpaceDE w:val="0"/>
              <w:autoSpaceDN w:val="0"/>
              <w:spacing w:before="262" w:after="0" w:line="180" w:lineRule="exact"/>
              <w:ind w:left="2318"/>
            </w:pPr>
            <w:r>
              <w:rPr>
                <w:rFonts w:ascii="TimesNewRomanPSMT" w:eastAsia="TimesNewRomanPSMT" w:hAnsi="TimesNewRomanPSMT"/>
                <w:color w:val="221F1F"/>
                <w:sz w:val="16"/>
              </w:rPr>
              <w:t xml:space="preserve">Recruited </w:t>
            </w:r>
            <w:r>
              <w:tab/>
            </w:r>
            <w:r>
              <w:rPr>
                <w:rFonts w:ascii="TimesNewRomanPSMT" w:eastAsia="TimesNewRomanPSMT" w:hAnsi="TimesNewRomanPSMT"/>
                <w:color w:val="221F1F"/>
                <w:sz w:val="16"/>
              </w:rPr>
              <w:t>n=77 (83.7%)</w:t>
            </w:r>
          </w:p>
          <w:p w14:paraId="6C732875" w14:textId="77777777" w:rsidR="00FA6DE4" w:rsidRDefault="00000000">
            <w:pPr>
              <w:autoSpaceDE w:val="0"/>
              <w:autoSpaceDN w:val="0"/>
              <w:spacing w:before="326" w:after="0" w:line="178" w:lineRule="exact"/>
              <w:ind w:right="3340"/>
              <w:jc w:val="right"/>
            </w:pPr>
            <w:r>
              <w:rPr>
                <w:rFonts w:ascii="TimesNewRomanPSMT" w:eastAsia="TimesNewRomanPSMT" w:hAnsi="TimesNewRomanPSMT"/>
                <w:color w:val="221F1F"/>
                <w:sz w:val="16"/>
              </w:rPr>
              <w:t>Not completed (n=5)</w:t>
            </w:r>
          </w:p>
          <w:p w14:paraId="18E3FD74" w14:textId="77777777" w:rsidR="00FA6DE4" w:rsidRDefault="00000000">
            <w:pPr>
              <w:autoSpaceDE w:val="0"/>
              <w:autoSpaceDN w:val="0"/>
              <w:spacing w:after="0" w:line="220" w:lineRule="exact"/>
              <w:ind w:right="2926"/>
              <w:jc w:val="right"/>
            </w:pPr>
            <w:r>
              <w:rPr>
                <w:rFonts w:ascii="SymbolMT" w:eastAsia="SymbolMT" w:hAnsi="SymbolMT"/>
                <w:color w:val="020404"/>
                <w:sz w:val="18"/>
              </w:rPr>
              <w:t>�</w:t>
            </w:r>
            <w:r>
              <w:rPr>
                <w:rFonts w:ascii="TimesNewRomanPSMT" w:eastAsia="TimesNewRomanPSMT" w:hAnsi="TimesNewRomanPSMT"/>
                <w:color w:val="221F1F"/>
                <w:sz w:val="16"/>
              </w:rPr>
              <w:t xml:space="preserve"> Withdrew (injured) (n=1)</w:t>
            </w:r>
          </w:p>
          <w:p w14:paraId="7D7F02CF" w14:textId="77777777" w:rsidR="00FA6DE4" w:rsidRDefault="00000000">
            <w:pPr>
              <w:autoSpaceDE w:val="0"/>
              <w:autoSpaceDN w:val="0"/>
              <w:spacing w:after="0" w:line="220" w:lineRule="exact"/>
              <w:ind w:right="3046"/>
              <w:jc w:val="right"/>
            </w:pPr>
            <w:r>
              <w:rPr>
                <w:rFonts w:ascii="SymbolMT" w:eastAsia="SymbolMT" w:hAnsi="SymbolMT"/>
                <w:color w:val="020404"/>
                <w:sz w:val="18"/>
              </w:rPr>
              <w:t>�</w:t>
            </w:r>
            <w:r>
              <w:rPr>
                <w:rFonts w:ascii="TimesNewRomanPSMT" w:eastAsia="TimesNewRomanPSMT" w:hAnsi="TimesNewRomanPSMT"/>
                <w:color w:val="221F1F"/>
                <w:sz w:val="16"/>
              </w:rPr>
              <w:t xml:space="preserve"> Lost to follow-up (n=4)</w:t>
            </w:r>
          </w:p>
          <w:p w14:paraId="0C9BBDD5" w14:textId="77777777" w:rsidR="00FA6DE4" w:rsidRDefault="00000000">
            <w:pPr>
              <w:tabs>
                <w:tab w:val="left" w:pos="3748"/>
              </w:tabs>
              <w:autoSpaceDE w:val="0"/>
              <w:autoSpaceDN w:val="0"/>
              <w:spacing w:before="304" w:after="0" w:line="182" w:lineRule="exact"/>
              <w:ind w:left="2322"/>
            </w:pPr>
            <w:r>
              <w:rPr>
                <w:rFonts w:ascii="TimesNewRomanPSMT" w:eastAsia="TimesNewRomanPSMT" w:hAnsi="TimesNewRomanPSMT"/>
                <w:color w:val="221F1F"/>
                <w:sz w:val="16"/>
              </w:rPr>
              <w:t xml:space="preserve">Retained/ </w:t>
            </w:r>
            <w:r>
              <w:tab/>
            </w:r>
            <w:r>
              <w:rPr>
                <w:rFonts w:ascii="TimesNewRomanPSMT" w:eastAsia="TimesNewRomanPSMT" w:hAnsi="TimesNewRomanPSMT"/>
                <w:color w:val="221F1F"/>
                <w:sz w:val="16"/>
              </w:rPr>
              <w:t>n=72 (93.5%)</w:t>
            </w:r>
          </w:p>
          <w:p w14:paraId="4DCE46F4" w14:textId="77777777" w:rsidR="00FA6DE4" w:rsidRDefault="00000000">
            <w:pPr>
              <w:autoSpaceDE w:val="0"/>
              <w:autoSpaceDN w:val="0"/>
              <w:spacing w:before="10" w:after="0" w:line="178" w:lineRule="exact"/>
              <w:ind w:left="2084"/>
            </w:pPr>
            <w:r>
              <w:rPr>
                <w:rFonts w:ascii="TimesNewRomanPSMT" w:eastAsia="TimesNewRomanPSMT" w:hAnsi="TimesNewRomanPSMT"/>
                <w:color w:val="221F1F"/>
                <w:sz w:val="16"/>
              </w:rPr>
              <w:t>Completed study</w:t>
            </w:r>
          </w:p>
        </w:tc>
      </w:tr>
    </w:tbl>
    <w:p w14:paraId="6FEFB022" w14:textId="77777777" w:rsidR="00FA6DE4" w:rsidRDefault="00000000">
      <w:pPr>
        <w:autoSpaceDE w:val="0"/>
        <w:autoSpaceDN w:val="0"/>
        <w:spacing w:before="194" w:after="382" w:line="214" w:lineRule="exact"/>
        <w:ind w:left="4"/>
      </w:pPr>
      <w:r>
        <w:rPr>
          <w:rFonts w:ascii="GillSansMTPro" w:eastAsia="GillSansMTPro" w:hAnsi="GillSansMTPro"/>
          <w:b/>
          <w:color w:val="221F1F"/>
          <w:sz w:val="18"/>
        </w:rPr>
        <w:t>Figure 1.</w:t>
      </w:r>
      <w:r>
        <w:rPr>
          <w:rFonts w:ascii="GillSansMTPro" w:eastAsia="GillSansMTPro" w:hAnsi="GillSansMTPro"/>
          <w:color w:val="221F1F"/>
          <w:sz w:val="18"/>
        </w:rPr>
        <w:t xml:space="preserve"> Flow diagram of recruitment and retention.</w:t>
      </w:r>
    </w:p>
    <w:p w14:paraId="5944F885" w14:textId="77777777" w:rsidR="00FA6DE4" w:rsidRDefault="00FA6DE4">
      <w:pPr>
        <w:sectPr w:rsidR="00FA6DE4">
          <w:pgSz w:w="12240" w:h="15840"/>
          <w:pgMar w:top="396" w:right="1190" w:bottom="720" w:left="956" w:header="720" w:footer="720" w:gutter="0"/>
          <w:cols w:space="720" w:equalWidth="0">
            <w:col w:w="10094" w:space="0"/>
          </w:cols>
          <w:docGrid w:linePitch="360"/>
        </w:sectPr>
      </w:pPr>
    </w:p>
    <w:p w14:paraId="45FEDD02" w14:textId="77777777" w:rsidR="00FA6DE4" w:rsidRDefault="00000000">
      <w:pPr>
        <w:autoSpaceDE w:val="0"/>
        <w:autoSpaceDN w:val="0"/>
        <w:spacing w:after="0" w:line="238" w:lineRule="exact"/>
        <w:ind w:left="4" w:right="144"/>
      </w:pPr>
      <w:r>
        <w:rPr>
          <w:rFonts w:ascii="TimesNewRomanPSMT" w:eastAsia="TimesNewRomanPSMT" w:hAnsi="TimesNewRomanPSMT"/>
          <w:color w:val="221F1F"/>
          <w:sz w:val="20"/>
        </w:rPr>
        <w:t>(non-Hispanic) participants; however, referrals from enrolled participants proved more effective for recruiting Hispanic participants. While research compensation might have offered strong motivation to participate in this study, flexible scheduling with reminder calls, texts, or emails was a successful strategy for participants to attend two face-to-face data collection interviews for study completion, regard-less of specific racial and ethnic groups.</w:t>
      </w:r>
    </w:p>
    <w:p w14:paraId="5D7175A2" w14:textId="77777777" w:rsidR="00FA6DE4" w:rsidRDefault="00000000">
      <w:pPr>
        <w:autoSpaceDE w:val="0"/>
        <w:autoSpaceDN w:val="0"/>
        <w:spacing w:after="0" w:line="240" w:lineRule="exact"/>
        <w:ind w:left="4" w:right="144" w:firstLine="240"/>
      </w:pPr>
      <w:r>
        <w:rPr>
          <w:rFonts w:ascii="TimesNewRomanPSMT" w:eastAsia="TimesNewRomanPSMT" w:hAnsi="TimesNewRomanPSMT"/>
          <w:color w:val="221F1F"/>
          <w:sz w:val="20"/>
        </w:rPr>
        <w:t xml:space="preserve">As stated in the literature (Diaz, 2012; Otado et al., 2015; Schoeppe et al., 2014; Staffileno &amp; Coke, 2006), lack of access to underrepresented populations stemming from mis-trust of researchers presents barriers to recruitment and reten-tion of study participants. Building trust and cultivating community involvement take time but is necessary to remove these barriers. Likewise, gatekeepers at various levels (e.g., schools, health care settings, local authorities, parents/guard-ians, or caregivers) play a critical role in this process, espe-cially for providing access to young people (Ozan et al., 2018; Savage &amp; McCarron, 2009; Water, 2018). Consistent with the literature (De Las Nueces et al., 2012; Reidy et al., 2012; Yancey et al., 2006), enlisting the assistance of community liaisons or leaders, encouraging community involvement, and maintaining consistency with research staff were </w:t>
      </w:r>
    </w:p>
    <w:p w14:paraId="64BAB4DF" w14:textId="77777777" w:rsidR="00FA6DE4" w:rsidRDefault="00FA6DE4">
      <w:pPr>
        <w:sectPr w:rsidR="00FA6DE4">
          <w:type w:val="continuous"/>
          <w:pgSz w:w="12240" w:h="15840"/>
          <w:pgMar w:top="396" w:right="1190" w:bottom="720" w:left="956" w:header="720" w:footer="720" w:gutter="0"/>
          <w:cols w:num="2" w:space="720" w:equalWidth="0">
            <w:col w:w="5040" w:space="0"/>
            <w:col w:w="5054" w:space="0"/>
          </w:cols>
          <w:docGrid w:linePitch="360"/>
        </w:sectPr>
      </w:pPr>
    </w:p>
    <w:p w14:paraId="69B9B3DD" w14:textId="77777777" w:rsidR="00FA6DE4" w:rsidRDefault="00000000">
      <w:pPr>
        <w:autoSpaceDE w:val="0"/>
        <w:autoSpaceDN w:val="0"/>
        <w:spacing w:after="0" w:line="240" w:lineRule="exact"/>
        <w:ind w:left="144"/>
        <w:jc w:val="center"/>
      </w:pPr>
      <w:r>
        <w:rPr>
          <w:rFonts w:ascii="TimesNewRomanPSMT" w:eastAsia="TimesNewRomanPSMT" w:hAnsi="TimesNewRomanPSMT"/>
          <w:color w:val="221F1F"/>
          <w:sz w:val="20"/>
        </w:rPr>
        <w:t xml:space="preserve">tremendously helpful in building trust and reducing mistrust of researchers. In the current study, for example, research staff not only visited the Board of Education for the partici-pating school district, library, schools, local churches, and community centers and attended community meetings to introduce the study purpose and procedures to school leaders and personnel and community partners but also set up a recruitment booth at the school district event—resource fair. Hence, with support from school leaders and community partners, the research team was able to post recruitment flyers at numerous facilities and send flyers home to eligible chil-dren directly via the school system. School personnel also encouraged eligible participants and parents to participate in the study, building trust more easily among study participants, parents, and research staff. Additionally, the same research staff contacted and met with study participants and answered any questions during the study period. Consequently, engage-ment with families became stronger, accelerating the recruit-ment progress and increasing enrollment. After gaining a deeper understanding of the study and developing familiarity with research staff, parents realized the benefits of participa-tion, such as better understanding their children’s activity lev-els. Interestingly, parents showed their support of this study </w:t>
      </w:r>
    </w:p>
    <w:p w14:paraId="143611DC" w14:textId="77777777" w:rsidR="00FA6DE4" w:rsidRDefault="00FA6DE4">
      <w:pPr>
        <w:sectPr w:rsidR="00FA6DE4">
          <w:type w:val="nextColumn"/>
          <w:pgSz w:w="12240" w:h="15840"/>
          <w:pgMar w:top="396" w:right="1190" w:bottom="720" w:left="956" w:header="720" w:footer="720" w:gutter="0"/>
          <w:cols w:num="2" w:space="720" w:equalWidth="0">
            <w:col w:w="5040" w:space="0"/>
            <w:col w:w="5054" w:space="0"/>
          </w:cols>
          <w:docGrid w:linePitch="360"/>
        </w:sectPr>
      </w:pPr>
    </w:p>
    <w:p w14:paraId="7957DFF6" w14:textId="77777777" w:rsidR="00FA6DE4" w:rsidRDefault="00FA6DE4">
      <w:pPr>
        <w:autoSpaceDE w:val="0"/>
        <w:autoSpaceDN w:val="0"/>
        <w:spacing w:after="174" w:line="220" w:lineRule="exact"/>
      </w:pPr>
    </w:p>
    <w:tbl>
      <w:tblPr>
        <w:tblW w:w="0" w:type="auto"/>
        <w:tblInd w:w="2" w:type="dxa"/>
        <w:tblLayout w:type="fixed"/>
        <w:tblLook w:val="04A0" w:firstRow="1" w:lastRow="0" w:firstColumn="1" w:lastColumn="0" w:noHBand="0" w:noVBand="1"/>
      </w:tblPr>
      <w:tblGrid>
        <w:gridCol w:w="5422"/>
        <w:gridCol w:w="4602"/>
      </w:tblGrid>
      <w:tr w:rsidR="00FA6DE4" w14:paraId="4724A9F1" w14:textId="77777777">
        <w:trPr>
          <w:trHeight w:hRule="exact" w:val="254"/>
        </w:trPr>
        <w:tc>
          <w:tcPr>
            <w:tcW w:w="5422" w:type="dxa"/>
            <w:tcBorders>
              <w:bottom w:val="single" w:sz="2" w:space="0" w:color="221F1F"/>
            </w:tcBorders>
            <w:tcMar>
              <w:left w:w="0" w:type="dxa"/>
              <w:right w:w="0" w:type="dxa"/>
            </w:tcMar>
          </w:tcPr>
          <w:p w14:paraId="3B37E5AA" w14:textId="77777777" w:rsidR="00FA6DE4" w:rsidRDefault="00000000">
            <w:pPr>
              <w:autoSpaceDE w:val="0"/>
              <w:autoSpaceDN w:val="0"/>
              <w:spacing w:after="0" w:line="232" w:lineRule="exact"/>
              <w:ind w:left="2"/>
            </w:pPr>
            <w:r>
              <w:rPr>
                <w:rFonts w:ascii="GillSansMTPro" w:eastAsia="GillSansMTPro" w:hAnsi="GillSansMTPro"/>
                <w:i/>
                <w:color w:val="221F1F"/>
                <w:sz w:val="20"/>
              </w:rPr>
              <w:t xml:space="preserve">Wang et al. </w:t>
            </w:r>
          </w:p>
        </w:tc>
        <w:tc>
          <w:tcPr>
            <w:tcW w:w="4602" w:type="dxa"/>
            <w:tcBorders>
              <w:bottom w:val="single" w:sz="2" w:space="0" w:color="221F1F"/>
            </w:tcBorders>
            <w:tcMar>
              <w:left w:w="0" w:type="dxa"/>
              <w:right w:w="0" w:type="dxa"/>
            </w:tcMar>
          </w:tcPr>
          <w:p w14:paraId="6A7289FD" w14:textId="77777777" w:rsidR="00FA6DE4" w:rsidRDefault="00000000">
            <w:pPr>
              <w:autoSpaceDE w:val="0"/>
              <w:autoSpaceDN w:val="0"/>
              <w:spacing w:after="0" w:line="234" w:lineRule="exact"/>
              <w:ind w:right="2"/>
              <w:jc w:val="right"/>
            </w:pPr>
            <w:r>
              <w:rPr>
                <w:rFonts w:ascii="GillSansMTPro" w:eastAsia="GillSansMTPro" w:hAnsi="GillSansMTPro"/>
                <w:color w:val="221F1F"/>
                <w:sz w:val="20"/>
              </w:rPr>
              <w:t>5</w:t>
            </w:r>
          </w:p>
        </w:tc>
      </w:tr>
    </w:tbl>
    <w:p w14:paraId="64986621" w14:textId="77777777" w:rsidR="00FA6DE4" w:rsidRDefault="00FA6DE4">
      <w:pPr>
        <w:autoSpaceDE w:val="0"/>
        <w:autoSpaceDN w:val="0"/>
        <w:spacing w:after="374" w:line="14" w:lineRule="exact"/>
      </w:pPr>
    </w:p>
    <w:p w14:paraId="4592E930" w14:textId="77777777" w:rsidR="00FA6DE4" w:rsidRDefault="00FA6DE4">
      <w:pPr>
        <w:sectPr w:rsidR="00FA6DE4">
          <w:pgSz w:w="12240" w:h="15840"/>
          <w:pgMar w:top="396" w:right="890" w:bottom="630" w:left="1256" w:header="720" w:footer="720" w:gutter="0"/>
          <w:cols w:space="720" w:equalWidth="0">
            <w:col w:w="10094" w:space="0"/>
          </w:cols>
          <w:docGrid w:linePitch="360"/>
        </w:sectPr>
      </w:pPr>
    </w:p>
    <w:p w14:paraId="3008B12D" w14:textId="77777777" w:rsidR="00FA6DE4" w:rsidRDefault="00000000">
      <w:pPr>
        <w:autoSpaceDE w:val="0"/>
        <w:autoSpaceDN w:val="0"/>
        <w:spacing w:after="64" w:line="230" w:lineRule="exact"/>
        <w:ind w:left="4"/>
      </w:pPr>
      <w:r>
        <w:rPr>
          <w:rFonts w:ascii="GillSansMTPro" w:eastAsia="GillSansMTPro" w:hAnsi="GillSansMTPro"/>
          <w:b/>
          <w:color w:val="221F1F"/>
          <w:sz w:val="18"/>
        </w:rPr>
        <w:t>Table 2.</w:t>
      </w:r>
      <w:r>
        <w:rPr>
          <w:rFonts w:ascii="GillSansMTPro" w:eastAsia="GillSansMTPro" w:hAnsi="GillSansMTPro"/>
          <w:color w:val="221F1F"/>
          <w:sz w:val="18"/>
        </w:rPr>
        <w:t xml:space="preserve"> Demographic Characteristics (</w:t>
      </w:r>
      <w:r>
        <w:rPr>
          <w:rFonts w:ascii="GillSansMTPro" w:eastAsia="GillSansMTPro" w:hAnsi="GillSansMTPro"/>
          <w:i/>
          <w:color w:val="221F1F"/>
          <w:sz w:val="18"/>
        </w:rPr>
        <w:t>N</w:t>
      </w:r>
      <w:r>
        <w:rPr>
          <w:rFonts w:ascii="MathematicalPiLTStd" w:eastAsia="MathematicalPiLTStd" w:hAnsi="MathematicalPiLTStd"/>
          <w:color w:val="221F1F"/>
          <w:sz w:val="18"/>
        </w:rPr>
        <w:t>=</w:t>
      </w:r>
      <w:r>
        <w:rPr>
          <w:rFonts w:ascii="GillSansMTPro" w:eastAsia="GillSansMTPro" w:hAnsi="GillSansMTPro"/>
          <w:color w:val="221F1F"/>
          <w:sz w:val="18"/>
        </w:rPr>
        <w:t xml:space="preserve"> 72).</w:t>
      </w:r>
    </w:p>
    <w:tbl>
      <w:tblPr>
        <w:tblW w:w="0" w:type="auto"/>
        <w:tblLayout w:type="fixed"/>
        <w:tblLook w:val="04A0" w:firstRow="1" w:lastRow="0" w:firstColumn="1" w:lastColumn="0" w:noHBand="0" w:noVBand="1"/>
      </w:tblPr>
      <w:tblGrid>
        <w:gridCol w:w="2124"/>
        <w:gridCol w:w="1840"/>
        <w:gridCol w:w="876"/>
      </w:tblGrid>
      <w:tr w:rsidR="00FA6DE4" w14:paraId="7A42E216" w14:textId="77777777">
        <w:trPr>
          <w:trHeight w:hRule="exact" w:val="288"/>
        </w:trPr>
        <w:tc>
          <w:tcPr>
            <w:tcW w:w="2124" w:type="dxa"/>
            <w:vMerge w:val="restart"/>
            <w:tcBorders>
              <w:top w:val="single" w:sz="4" w:space="0" w:color="221F1F"/>
              <w:bottom w:val="single" w:sz="4" w:space="0" w:color="221F1F"/>
            </w:tcBorders>
            <w:tcMar>
              <w:left w:w="0" w:type="dxa"/>
              <w:right w:w="0" w:type="dxa"/>
            </w:tcMar>
          </w:tcPr>
          <w:p w14:paraId="5881E3E9" w14:textId="77777777" w:rsidR="00FA6DE4" w:rsidRDefault="00000000">
            <w:pPr>
              <w:autoSpaceDE w:val="0"/>
              <w:autoSpaceDN w:val="0"/>
              <w:spacing w:before="284" w:after="0" w:line="210" w:lineRule="exact"/>
              <w:ind w:left="4"/>
            </w:pPr>
            <w:r>
              <w:rPr>
                <w:rFonts w:ascii="GillSansMTPro" w:eastAsia="GillSansMTPro" w:hAnsi="GillSansMTPro"/>
                <w:color w:val="221F1F"/>
                <w:sz w:val="18"/>
              </w:rPr>
              <w:t>Characteristics</w:t>
            </w:r>
          </w:p>
        </w:tc>
        <w:tc>
          <w:tcPr>
            <w:tcW w:w="1840" w:type="dxa"/>
            <w:tcBorders>
              <w:top w:val="single" w:sz="4" w:space="0" w:color="221F1F"/>
            </w:tcBorders>
            <w:tcMar>
              <w:left w:w="0" w:type="dxa"/>
              <w:right w:w="0" w:type="dxa"/>
            </w:tcMar>
          </w:tcPr>
          <w:p w14:paraId="0A115650" w14:textId="77777777" w:rsidR="00FA6DE4" w:rsidRDefault="00000000">
            <w:pPr>
              <w:autoSpaceDE w:val="0"/>
              <w:autoSpaceDN w:val="0"/>
              <w:spacing w:before="74" w:after="0" w:line="210" w:lineRule="exact"/>
              <w:ind w:right="246"/>
              <w:jc w:val="right"/>
            </w:pPr>
            <w:r>
              <w:rPr>
                <w:rFonts w:ascii="GillSansMTPro" w:eastAsia="GillSansMTPro" w:hAnsi="GillSansMTPro"/>
                <w:color w:val="221F1F"/>
                <w:sz w:val="18"/>
              </w:rPr>
              <w:t xml:space="preserve">Parent; </w:t>
            </w:r>
          </w:p>
        </w:tc>
        <w:tc>
          <w:tcPr>
            <w:tcW w:w="876" w:type="dxa"/>
            <w:tcBorders>
              <w:top w:val="single" w:sz="4" w:space="0" w:color="221F1F"/>
            </w:tcBorders>
            <w:tcMar>
              <w:left w:w="0" w:type="dxa"/>
              <w:right w:w="0" w:type="dxa"/>
            </w:tcMar>
          </w:tcPr>
          <w:p w14:paraId="5628E76B" w14:textId="77777777" w:rsidR="00FA6DE4" w:rsidRDefault="00000000">
            <w:pPr>
              <w:autoSpaceDE w:val="0"/>
              <w:autoSpaceDN w:val="0"/>
              <w:spacing w:before="74" w:after="0" w:line="210" w:lineRule="exact"/>
              <w:ind w:right="122"/>
              <w:jc w:val="right"/>
            </w:pPr>
            <w:r>
              <w:rPr>
                <w:rFonts w:ascii="GillSansMTPro" w:eastAsia="GillSansMTPro" w:hAnsi="GillSansMTPro"/>
                <w:color w:val="221F1F"/>
                <w:sz w:val="18"/>
              </w:rPr>
              <w:t xml:space="preserve">Child; </w:t>
            </w:r>
          </w:p>
        </w:tc>
      </w:tr>
      <w:tr w:rsidR="00FA6DE4" w14:paraId="5AD7024D" w14:textId="77777777">
        <w:trPr>
          <w:trHeight w:hRule="exact" w:val="268"/>
        </w:trPr>
        <w:tc>
          <w:tcPr>
            <w:tcW w:w="3365" w:type="dxa"/>
            <w:vMerge/>
            <w:tcBorders>
              <w:top w:val="single" w:sz="4" w:space="0" w:color="221F1F"/>
              <w:bottom w:val="single" w:sz="4" w:space="0" w:color="221F1F"/>
            </w:tcBorders>
          </w:tcPr>
          <w:p w14:paraId="72E86D9C" w14:textId="77777777" w:rsidR="00FA6DE4" w:rsidRDefault="00FA6DE4"/>
        </w:tc>
        <w:tc>
          <w:tcPr>
            <w:tcW w:w="1840" w:type="dxa"/>
            <w:tcBorders>
              <w:bottom w:val="single" w:sz="4" w:space="0" w:color="221F1F"/>
            </w:tcBorders>
            <w:tcMar>
              <w:left w:w="0" w:type="dxa"/>
              <w:right w:w="0" w:type="dxa"/>
            </w:tcMar>
          </w:tcPr>
          <w:p w14:paraId="59C1F12E" w14:textId="77777777" w:rsidR="00FA6DE4" w:rsidRDefault="00000000">
            <w:pPr>
              <w:autoSpaceDE w:val="0"/>
              <w:autoSpaceDN w:val="0"/>
              <w:spacing w:after="0" w:line="210" w:lineRule="exact"/>
              <w:ind w:right="390"/>
              <w:jc w:val="right"/>
            </w:pPr>
            <w:r>
              <w:rPr>
                <w:rFonts w:ascii="GillSansMTPro" w:eastAsia="GillSansMTPro" w:hAnsi="GillSansMTPro"/>
                <w:i/>
                <w:color w:val="221F1F"/>
                <w:sz w:val="18"/>
              </w:rPr>
              <w:t>n</w:t>
            </w:r>
            <w:r>
              <w:rPr>
                <w:rFonts w:ascii="GillSansMTPro" w:eastAsia="GillSansMTPro" w:hAnsi="GillSansMTPro"/>
                <w:color w:val="221F1F"/>
                <w:sz w:val="18"/>
              </w:rPr>
              <w:t>(%)</w:t>
            </w:r>
          </w:p>
        </w:tc>
        <w:tc>
          <w:tcPr>
            <w:tcW w:w="876" w:type="dxa"/>
            <w:tcBorders>
              <w:bottom w:val="single" w:sz="4" w:space="0" w:color="221F1F"/>
            </w:tcBorders>
            <w:tcMar>
              <w:left w:w="0" w:type="dxa"/>
              <w:right w:w="0" w:type="dxa"/>
            </w:tcMar>
          </w:tcPr>
          <w:p w14:paraId="004E6721" w14:textId="77777777" w:rsidR="00FA6DE4" w:rsidRDefault="00000000">
            <w:pPr>
              <w:autoSpaceDE w:val="0"/>
              <w:autoSpaceDN w:val="0"/>
              <w:spacing w:after="0" w:line="210" w:lineRule="exact"/>
              <w:ind w:right="222"/>
              <w:jc w:val="right"/>
            </w:pPr>
            <w:r>
              <w:rPr>
                <w:rFonts w:ascii="GillSansMTPro" w:eastAsia="GillSansMTPro" w:hAnsi="GillSansMTPro"/>
                <w:i/>
                <w:color w:val="221F1F"/>
                <w:sz w:val="18"/>
              </w:rPr>
              <w:t>n</w:t>
            </w:r>
            <w:r>
              <w:rPr>
                <w:rFonts w:ascii="GillSansMTPro" w:eastAsia="GillSansMTPro" w:hAnsi="GillSansMTPro"/>
                <w:color w:val="221F1F"/>
                <w:sz w:val="18"/>
              </w:rPr>
              <w:t>(%)</w:t>
            </w:r>
          </w:p>
        </w:tc>
      </w:tr>
    </w:tbl>
    <w:p w14:paraId="05802F5A" w14:textId="77777777" w:rsidR="00FA6DE4" w:rsidRDefault="00FA6DE4">
      <w:pPr>
        <w:autoSpaceDE w:val="0"/>
        <w:autoSpaceDN w:val="0"/>
        <w:spacing w:after="0" w:line="14" w:lineRule="exact"/>
      </w:pPr>
    </w:p>
    <w:p w14:paraId="21A5365C" w14:textId="77777777" w:rsidR="00FA6DE4" w:rsidRDefault="00FA6DE4">
      <w:pPr>
        <w:sectPr w:rsidR="00FA6DE4">
          <w:type w:val="continuous"/>
          <w:pgSz w:w="12240" w:h="15840"/>
          <w:pgMar w:top="396" w:right="890" w:bottom="630" w:left="1256" w:header="720" w:footer="720" w:gutter="0"/>
          <w:cols w:num="2" w:space="720" w:equalWidth="0">
            <w:col w:w="5016" w:space="0"/>
            <w:col w:w="5078" w:space="0"/>
          </w:cols>
          <w:docGrid w:linePitch="360"/>
        </w:sectPr>
      </w:pPr>
    </w:p>
    <w:p w14:paraId="5A2336C5" w14:textId="77777777" w:rsidR="00FA6DE4" w:rsidRDefault="00000000">
      <w:pPr>
        <w:autoSpaceDE w:val="0"/>
        <w:autoSpaceDN w:val="0"/>
        <w:spacing w:after="18" w:line="236" w:lineRule="exact"/>
        <w:ind w:left="144"/>
        <w:jc w:val="center"/>
      </w:pPr>
      <w:r>
        <w:rPr>
          <w:rFonts w:ascii="TimesNewRomanPSMT" w:eastAsia="TimesNewRomanPSMT" w:hAnsi="TimesNewRomanPSMT"/>
          <w:color w:val="221F1F"/>
          <w:sz w:val="20"/>
        </w:rPr>
        <w:t>Bartlett, 2013), lack of interest in research and time con-straints among some parents or their children also affected recruitment efforts for this study. Some potential participants met at the resource fair sent inquiries and left contact infor-</w:t>
      </w:r>
    </w:p>
    <w:p w14:paraId="13F90B1F" w14:textId="77777777" w:rsidR="00FA6DE4" w:rsidRDefault="00FA6DE4">
      <w:pPr>
        <w:sectPr w:rsidR="00FA6DE4">
          <w:type w:val="nextColumn"/>
          <w:pgSz w:w="12240" w:h="15840"/>
          <w:pgMar w:top="396" w:right="890" w:bottom="630" w:left="1256" w:header="720" w:footer="720" w:gutter="0"/>
          <w:cols w:num="2" w:space="720" w:equalWidth="0">
            <w:col w:w="5016" w:space="0"/>
            <w:col w:w="5078" w:space="0"/>
          </w:cols>
          <w:docGrid w:linePitch="360"/>
        </w:sectPr>
      </w:pPr>
    </w:p>
    <w:tbl>
      <w:tblPr>
        <w:tblW w:w="0" w:type="auto"/>
        <w:tblInd w:w="-15" w:type="dxa"/>
        <w:tblLayout w:type="fixed"/>
        <w:tblLook w:val="04A0" w:firstRow="1" w:lastRow="0" w:firstColumn="1" w:lastColumn="0" w:noHBand="0" w:noVBand="1"/>
      </w:tblPr>
      <w:tblGrid>
        <w:gridCol w:w="2900"/>
        <w:gridCol w:w="1060"/>
        <w:gridCol w:w="1060"/>
        <w:gridCol w:w="5080"/>
      </w:tblGrid>
      <w:tr w:rsidR="00FA6DE4" w14:paraId="1AC0C22B" w14:textId="77777777">
        <w:trPr>
          <w:trHeight w:hRule="exact" w:val="220"/>
        </w:trPr>
        <w:tc>
          <w:tcPr>
            <w:tcW w:w="2900" w:type="dxa"/>
            <w:tcMar>
              <w:left w:w="0" w:type="dxa"/>
              <w:right w:w="0" w:type="dxa"/>
            </w:tcMar>
          </w:tcPr>
          <w:p w14:paraId="542C58C9"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Gender</w:t>
            </w:r>
          </w:p>
        </w:tc>
        <w:tc>
          <w:tcPr>
            <w:tcW w:w="1060" w:type="dxa"/>
            <w:vMerge w:val="restart"/>
            <w:tcMar>
              <w:left w:w="0" w:type="dxa"/>
              <w:right w:w="0" w:type="dxa"/>
            </w:tcMar>
          </w:tcPr>
          <w:p w14:paraId="4456FD86" w14:textId="77777777" w:rsidR="00FA6DE4" w:rsidRDefault="00000000">
            <w:pPr>
              <w:autoSpaceDE w:val="0"/>
              <w:autoSpaceDN w:val="0"/>
              <w:spacing w:before="244" w:after="0" w:line="210" w:lineRule="exact"/>
              <w:jc w:val="center"/>
            </w:pPr>
            <w:r>
              <w:rPr>
                <w:rFonts w:ascii="GillSansMTPro" w:eastAsia="GillSansMTPro" w:hAnsi="GillSansMTPro"/>
                <w:color w:val="221F1F"/>
                <w:sz w:val="18"/>
              </w:rPr>
              <w:t>58 (80.6)</w:t>
            </w:r>
          </w:p>
        </w:tc>
        <w:tc>
          <w:tcPr>
            <w:tcW w:w="1060" w:type="dxa"/>
            <w:vMerge w:val="restart"/>
            <w:tcMar>
              <w:left w:w="0" w:type="dxa"/>
              <w:right w:w="0" w:type="dxa"/>
            </w:tcMar>
          </w:tcPr>
          <w:p w14:paraId="5848C3BD" w14:textId="77777777" w:rsidR="00FA6DE4" w:rsidRDefault="00000000">
            <w:pPr>
              <w:autoSpaceDE w:val="0"/>
              <w:autoSpaceDN w:val="0"/>
              <w:spacing w:before="244" w:after="0" w:line="210" w:lineRule="exact"/>
              <w:jc w:val="center"/>
            </w:pPr>
            <w:r>
              <w:rPr>
                <w:rFonts w:ascii="GillSansMTPro" w:eastAsia="GillSansMTPro" w:hAnsi="GillSansMTPro"/>
                <w:color w:val="221F1F"/>
                <w:sz w:val="18"/>
              </w:rPr>
              <w:t>32 (45.1)</w:t>
            </w:r>
          </w:p>
        </w:tc>
        <w:tc>
          <w:tcPr>
            <w:tcW w:w="5080" w:type="dxa"/>
            <w:tcMar>
              <w:left w:w="0" w:type="dxa"/>
              <w:right w:w="0" w:type="dxa"/>
            </w:tcMar>
          </w:tcPr>
          <w:p w14:paraId="7A89FD21" w14:textId="77777777" w:rsidR="00FA6DE4" w:rsidRDefault="00000000">
            <w:pPr>
              <w:autoSpaceDE w:val="0"/>
              <w:autoSpaceDN w:val="0"/>
              <w:spacing w:after="0" w:line="222" w:lineRule="exact"/>
              <w:ind w:left="190"/>
            </w:pPr>
            <w:r>
              <w:rPr>
                <w:rFonts w:ascii="TimesNewRomanPSMT" w:eastAsia="TimesNewRomanPSMT" w:hAnsi="TimesNewRomanPSMT"/>
                <w:color w:val="221F1F"/>
                <w:sz w:val="20"/>
              </w:rPr>
              <w:t xml:space="preserve">mation, but later they refused to participate because they </w:t>
            </w:r>
          </w:p>
        </w:tc>
      </w:tr>
      <w:tr w:rsidR="00FA6DE4" w14:paraId="406269FC" w14:textId="77777777">
        <w:trPr>
          <w:trHeight w:hRule="exact" w:val="236"/>
        </w:trPr>
        <w:tc>
          <w:tcPr>
            <w:tcW w:w="2900" w:type="dxa"/>
            <w:tcMar>
              <w:left w:w="0" w:type="dxa"/>
              <w:right w:w="0" w:type="dxa"/>
            </w:tcMar>
          </w:tcPr>
          <w:p w14:paraId="6FE5A3BD" w14:textId="77777777" w:rsidR="00FA6DE4" w:rsidRDefault="00000000">
            <w:pPr>
              <w:autoSpaceDE w:val="0"/>
              <w:autoSpaceDN w:val="0"/>
              <w:spacing w:before="24" w:after="0" w:line="210" w:lineRule="exact"/>
              <w:ind w:left="20"/>
            </w:pPr>
            <w:r>
              <w:rPr>
                <w:rFonts w:ascii="GillSansMTPro" w:eastAsia="GillSansMTPro" w:hAnsi="GillSansMTPro"/>
                <w:color w:val="221F1F"/>
                <w:sz w:val="18"/>
              </w:rPr>
              <w:t xml:space="preserve"> Female</w:t>
            </w:r>
          </w:p>
        </w:tc>
        <w:tc>
          <w:tcPr>
            <w:tcW w:w="2523" w:type="dxa"/>
            <w:vMerge/>
          </w:tcPr>
          <w:p w14:paraId="57C78BBC" w14:textId="77777777" w:rsidR="00FA6DE4" w:rsidRDefault="00FA6DE4"/>
        </w:tc>
        <w:tc>
          <w:tcPr>
            <w:tcW w:w="2523" w:type="dxa"/>
            <w:vMerge/>
          </w:tcPr>
          <w:p w14:paraId="1D4891BA" w14:textId="77777777" w:rsidR="00FA6DE4" w:rsidRDefault="00FA6DE4"/>
        </w:tc>
        <w:tc>
          <w:tcPr>
            <w:tcW w:w="5080" w:type="dxa"/>
            <w:tcMar>
              <w:left w:w="0" w:type="dxa"/>
              <w:right w:w="0" w:type="dxa"/>
            </w:tcMar>
          </w:tcPr>
          <w:p w14:paraId="040B4BAA" w14:textId="77777777" w:rsidR="00FA6DE4" w:rsidRDefault="00000000">
            <w:pPr>
              <w:autoSpaceDE w:val="0"/>
              <w:autoSpaceDN w:val="0"/>
              <w:spacing w:before="14" w:after="0" w:line="222" w:lineRule="exact"/>
              <w:ind w:left="190"/>
            </w:pPr>
            <w:r>
              <w:rPr>
                <w:rFonts w:ascii="TimesNewRomanPSMT" w:eastAsia="TimesNewRomanPSMT" w:hAnsi="TimesNewRomanPSMT"/>
                <w:color w:val="221F1F"/>
                <w:sz w:val="20"/>
              </w:rPr>
              <w:t xml:space="preserve">were no longer available or not interested in the study. </w:t>
            </w:r>
          </w:p>
        </w:tc>
      </w:tr>
      <w:tr w:rsidR="00FA6DE4" w14:paraId="10C2615D" w14:textId="77777777">
        <w:trPr>
          <w:trHeight w:hRule="exact" w:val="246"/>
        </w:trPr>
        <w:tc>
          <w:tcPr>
            <w:tcW w:w="2900" w:type="dxa"/>
            <w:tcMar>
              <w:left w:w="0" w:type="dxa"/>
              <w:right w:w="0" w:type="dxa"/>
            </w:tcMar>
          </w:tcPr>
          <w:p w14:paraId="1A88CF5A" w14:textId="77777777" w:rsidR="00FA6DE4" w:rsidRDefault="00000000">
            <w:pPr>
              <w:autoSpaceDE w:val="0"/>
              <w:autoSpaceDN w:val="0"/>
              <w:spacing w:before="18" w:after="0" w:line="208" w:lineRule="exact"/>
              <w:ind w:left="20"/>
            </w:pPr>
            <w:r>
              <w:rPr>
                <w:rFonts w:ascii="GillSansMTPro" w:eastAsia="GillSansMTPro" w:hAnsi="GillSansMTPro"/>
                <w:color w:val="221F1F"/>
                <w:sz w:val="18"/>
              </w:rPr>
              <w:t>Race/ethnicity</w:t>
            </w:r>
          </w:p>
        </w:tc>
        <w:tc>
          <w:tcPr>
            <w:tcW w:w="1060" w:type="dxa"/>
            <w:vMerge w:val="restart"/>
            <w:tcMar>
              <w:left w:w="0" w:type="dxa"/>
              <w:right w:w="0" w:type="dxa"/>
            </w:tcMar>
          </w:tcPr>
          <w:p w14:paraId="0D876B44" w14:textId="77777777" w:rsidR="00FA6DE4" w:rsidRDefault="00000000">
            <w:pPr>
              <w:autoSpaceDE w:val="0"/>
              <w:autoSpaceDN w:val="0"/>
              <w:spacing w:before="246" w:after="0" w:line="208" w:lineRule="exact"/>
              <w:jc w:val="center"/>
            </w:pPr>
            <w:r>
              <w:rPr>
                <w:rFonts w:ascii="GillSansMTPro" w:eastAsia="GillSansMTPro" w:hAnsi="GillSansMTPro"/>
                <w:color w:val="221F1F"/>
                <w:sz w:val="18"/>
              </w:rPr>
              <w:t>44 (61.1)</w:t>
            </w:r>
          </w:p>
        </w:tc>
        <w:tc>
          <w:tcPr>
            <w:tcW w:w="1060" w:type="dxa"/>
            <w:vMerge w:val="restart"/>
            <w:tcMar>
              <w:left w:w="0" w:type="dxa"/>
              <w:right w:w="0" w:type="dxa"/>
            </w:tcMar>
          </w:tcPr>
          <w:p w14:paraId="1F2AD2B1" w14:textId="77777777" w:rsidR="00FA6DE4" w:rsidRDefault="00000000">
            <w:pPr>
              <w:autoSpaceDE w:val="0"/>
              <w:autoSpaceDN w:val="0"/>
              <w:spacing w:before="246" w:after="0" w:line="208" w:lineRule="exact"/>
              <w:jc w:val="center"/>
            </w:pPr>
            <w:r>
              <w:rPr>
                <w:rFonts w:ascii="GillSansMTPro" w:eastAsia="GillSansMTPro" w:hAnsi="GillSansMTPro"/>
                <w:color w:val="221F1F"/>
                <w:sz w:val="18"/>
              </w:rPr>
              <w:t>39 (54.2)</w:t>
            </w:r>
          </w:p>
        </w:tc>
        <w:tc>
          <w:tcPr>
            <w:tcW w:w="5080" w:type="dxa"/>
            <w:tcMar>
              <w:left w:w="0" w:type="dxa"/>
              <w:right w:w="0" w:type="dxa"/>
            </w:tcMar>
          </w:tcPr>
          <w:p w14:paraId="48E1929D" w14:textId="77777777" w:rsidR="00FA6DE4" w:rsidRDefault="00000000">
            <w:pPr>
              <w:autoSpaceDE w:val="0"/>
              <w:autoSpaceDN w:val="0"/>
              <w:spacing w:before="24" w:after="0" w:line="222" w:lineRule="exact"/>
              <w:ind w:left="190"/>
            </w:pPr>
            <w:r>
              <w:rPr>
                <w:rFonts w:ascii="TimesNewRomanPSMT" w:eastAsia="TimesNewRomanPSMT" w:hAnsi="TimesNewRomanPSMT"/>
                <w:color w:val="221F1F"/>
                <w:sz w:val="20"/>
              </w:rPr>
              <w:t>Studies have also reported that flexible scheduling for meet-</w:t>
            </w:r>
          </w:p>
        </w:tc>
      </w:tr>
      <w:tr w:rsidR="00FA6DE4" w14:paraId="415D1522" w14:textId="77777777">
        <w:trPr>
          <w:trHeight w:hRule="exact" w:val="234"/>
        </w:trPr>
        <w:tc>
          <w:tcPr>
            <w:tcW w:w="2900" w:type="dxa"/>
            <w:tcMar>
              <w:left w:w="0" w:type="dxa"/>
              <w:right w:w="0" w:type="dxa"/>
            </w:tcMar>
          </w:tcPr>
          <w:p w14:paraId="0C1DD57A" w14:textId="77777777" w:rsidR="00FA6DE4" w:rsidRDefault="00000000">
            <w:pPr>
              <w:autoSpaceDE w:val="0"/>
              <w:autoSpaceDN w:val="0"/>
              <w:spacing w:after="0" w:line="208" w:lineRule="exact"/>
              <w:ind w:left="20"/>
            </w:pPr>
            <w:r>
              <w:rPr>
                <w:rFonts w:ascii="GillSansMTPro" w:eastAsia="GillSansMTPro" w:hAnsi="GillSansMTPro"/>
                <w:color w:val="221F1F"/>
                <w:sz w:val="18"/>
              </w:rPr>
              <w:t xml:space="preserve"> White (non-Hispanic)</w:t>
            </w:r>
          </w:p>
        </w:tc>
        <w:tc>
          <w:tcPr>
            <w:tcW w:w="2523" w:type="dxa"/>
            <w:vMerge/>
          </w:tcPr>
          <w:p w14:paraId="6F934EA2" w14:textId="77777777" w:rsidR="00FA6DE4" w:rsidRDefault="00FA6DE4"/>
        </w:tc>
        <w:tc>
          <w:tcPr>
            <w:tcW w:w="2523" w:type="dxa"/>
            <w:vMerge/>
          </w:tcPr>
          <w:p w14:paraId="013C883A" w14:textId="77777777" w:rsidR="00FA6DE4" w:rsidRDefault="00FA6DE4"/>
        </w:tc>
        <w:tc>
          <w:tcPr>
            <w:tcW w:w="5080" w:type="dxa"/>
            <w:tcMar>
              <w:left w:w="0" w:type="dxa"/>
              <w:right w:w="0" w:type="dxa"/>
            </w:tcMar>
          </w:tcPr>
          <w:p w14:paraId="0A42D7CA" w14:textId="77777777" w:rsidR="00FA6DE4" w:rsidRDefault="00000000">
            <w:pPr>
              <w:autoSpaceDE w:val="0"/>
              <w:autoSpaceDN w:val="0"/>
              <w:spacing w:before="12" w:after="0" w:line="222" w:lineRule="exact"/>
              <w:ind w:left="190"/>
            </w:pPr>
            <w:r>
              <w:rPr>
                <w:rFonts w:ascii="TimesNewRomanPSMT" w:eastAsia="TimesNewRomanPSMT" w:hAnsi="TimesNewRomanPSMT"/>
                <w:color w:val="221F1F"/>
                <w:sz w:val="20"/>
              </w:rPr>
              <w:t xml:space="preserve">ing times and locations is effective for both recruitment and </w:t>
            </w:r>
          </w:p>
        </w:tc>
      </w:tr>
      <w:tr w:rsidR="00FA6DE4" w14:paraId="2086A455" w14:textId="77777777">
        <w:trPr>
          <w:trHeight w:hRule="exact" w:val="240"/>
        </w:trPr>
        <w:tc>
          <w:tcPr>
            <w:tcW w:w="2900" w:type="dxa"/>
            <w:tcMar>
              <w:left w:w="0" w:type="dxa"/>
              <w:right w:w="0" w:type="dxa"/>
            </w:tcMar>
          </w:tcPr>
          <w:p w14:paraId="2B0099E6" w14:textId="77777777" w:rsidR="00FA6DE4" w:rsidRDefault="00000000">
            <w:pPr>
              <w:autoSpaceDE w:val="0"/>
              <w:autoSpaceDN w:val="0"/>
              <w:spacing w:after="0" w:line="208" w:lineRule="exact"/>
              <w:ind w:left="20"/>
            </w:pPr>
            <w:r>
              <w:rPr>
                <w:rFonts w:ascii="GillSansMTPro" w:eastAsia="GillSansMTPro" w:hAnsi="GillSansMTPro"/>
                <w:color w:val="221F1F"/>
                <w:sz w:val="18"/>
              </w:rPr>
              <w:t xml:space="preserve"> Hispanic</w:t>
            </w:r>
          </w:p>
        </w:tc>
        <w:tc>
          <w:tcPr>
            <w:tcW w:w="1060" w:type="dxa"/>
            <w:tcMar>
              <w:left w:w="0" w:type="dxa"/>
              <w:right w:w="0" w:type="dxa"/>
            </w:tcMar>
          </w:tcPr>
          <w:p w14:paraId="511CD4EF" w14:textId="77777777" w:rsidR="00FA6DE4" w:rsidRDefault="00000000">
            <w:pPr>
              <w:autoSpaceDE w:val="0"/>
              <w:autoSpaceDN w:val="0"/>
              <w:spacing w:after="0" w:line="208" w:lineRule="exact"/>
              <w:jc w:val="center"/>
            </w:pPr>
            <w:r>
              <w:rPr>
                <w:rFonts w:ascii="GillSansMTPro" w:eastAsia="GillSansMTPro" w:hAnsi="GillSansMTPro"/>
                <w:color w:val="221F1F"/>
                <w:sz w:val="18"/>
              </w:rPr>
              <w:t>27 (37.5)</w:t>
            </w:r>
          </w:p>
        </w:tc>
        <w:tc>
          <w:tcPr>
            <w:tcW w:w="1060" w:type="dxa"/>
            <w:tcMar>
              <w:left w:w="0" w:type="dxa"/>
              <w:right w:w="0" w:type="dxa"/>
            </w:tcMar>
          </w:tcPr>
          <w:p w14:paraId="5A21C07F" w14:textId="77777777" w:rsidR="00FA6DE4" w:rsidRDefault="00000000">
            <w:pPr>
              <w:autoSpaceDE w:val="0"/>
              <w:autoSpaceDN w:val="0"/>
              <w:spacing w:after="0" w:line="208" w:lineRule="exact"/>
              <w:jc w:val="center"/>
            </w:pPr>
            <w:r>
              <w:rPr>
                <w:rFonts w:ascii="GillSansMTPro" w:eastAsia="GillSansMTPro" w:hAnsi="GillSansMTPro"/>
                <w:color w:val="221F1F"/>
                <w:sz w:val="18"/>
              </w:rPr>
              <w:t>27 (37.5)</w:t>
            </w:r>
          </w:p>
        </w:tc>
        <w:tc>
          <w:tcPr>
            <w:tcW w:w="5080" w:type="dxa"/>
            <w:tcMar>
              <w:left w:w="0" w:type="dxa"/>
              <w:right w:w="0" w:type="dxa"/>
            </w:tcMar>
          </w:tcPr>
          <w:p w14:paraId="5BE2A2A6"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retention (Schoeppe et al., 2014; Staffileno &amp; Coke, 2006). </w:t>
            </w:r>
          </w:p>
        </w:tc>
      </w:tr>
      <w:tr w:rsidR="00FA6DE4" w14:paraId="7B2CBB0C" w14:textId="77777777">
        <w:trPr>
          <w:trHeight w:hRule="exact" w:val="240"/>
        </w:trPr>
        <w:tc>
          <w:tcPr>
            <w:tcW w:w="2900" w:type="dxa"/>
            <w:tcMar>
              <w:left w:w="0" w:type="dxa"/>
              <w:right w:w="0" w:type="dxa"/>
            </w:tcMar>
          </w:tcPr>
          <w:p w14:paraId="685B052D" w14:textId="77777777" w:rsidR="00FA6DE4" w:rsidRDefault="00000000">
            <w:pPr>
              <w:autoSpaceDE w:val="0"/>
              <w:autoSpaceDN w:val="0"/>
              <w:spacing w:after="0" w:line="208" w:lineRule="exact"/>
              <w:ind w:left="20"/>
            </w:pPr>
            <w:r>
              <w:rPr>
                <w:rFonts w:ascii="GillSansMTPro" w:eastAsia="GillSansMTPro" w:hAnsi="GillSansMTPro"/>
                <w:color w:val="221F1F"/>
                <w:sz w:val="18"/>
              </w:rPr>
              <w:t xml:space="preserve"> Other</w:t>
            </w:r>
          </w:p>
        </w:tc>
        <w:tc>
          <w:tcPr>
            <w:tcW w:w="1060" w:type="dxa"/>
            <w:tcMar>
              <w:left w:w="0" w:type="dxa"/>
              <w:right w:w="0" w:type="dxa"/>
            </w:tcMar>
          </w:tcPr>
          <w:p w14:paraId="06E28750" w14:textId="77777777" w:rsidR="00FA6DE4" w:rsidRDefault="00000000">
            <w:pPr>
              <w:autoSpaceDE w:val="0"/>
              <w:autoSpaceDN w:val="0"/>
              <w:spacing w:after="0" w:line="208" w:lineRule="exact"/>
              <w:jc w:val="center"/>
            </w:pPr>
            <w:r>
              <w:rPr>
                <w:rFonts w:ascii="GillSansMTPro" w:eastAsia="GillSansMTPro" w:hAnsi="GillSansMTPro"/>
                <w:color w:val="221F1F"/>
                <w:sz w:val="18"/>
              </w:rPr>
              <w:t>1 (1.4)</w:t>
            </w:r>
          </w:p>
        </w:tc>
        <w:tc>
          <w:tcPr>
            <w:tcW w:w="1060" w:type="dxa"/>
            <w:vMerge w:val="restart"/>
            <w:tcMar>
              <w:left w:w="0" w:type="dxa"/>
              <w:right w:w="0" w:type="dxa"/>
            </w:tcMar>
          </w:tcPr>
          <w:p w14:paraId="3B6DB41F" w14:textId="77777777" w:rsidR="00FA6DE4" w:rsidRDefault="00000000">
            <w:pPr>
              <w:autoSpaceDE w:val="0"/>
              <w:autoSpaceDN w:val="0"/>
              <w:spacing w:after="0" w:line="208" w:lineRule="exact"/>
              <w:jc w:val="center"/>
            </w:pPr>
            <w:r>
              <w:rPr>
                <w:rFonts w:ascii="GillSansMTPro" w:eastAsia="GillSansMTPro" w:hAnsi="GillSansMTPro"/>
                <w:color w:val="221F1F"/>
                <w:sz w:val="18"/>
              </w:rPr>
              <w:t>6 (8.3)</w:t>
            </w:r>
          </w:p>
        </w:tc>
        <w:tc>
          <w:tcPr>
            <w:tcW w:w="5080" w:type="dxa"/>
            <w:tcMar>
              <w:left w:w="0" w:type="dxa"/>
              <w:right w:w="0" w:type="dxa"/>
            </w:tcMar>
          </w:tcPr>
          <w:p w14:paraId="7AA3DB9B"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In this study, two face-to-face data collection interviews </w:t>
            </w:r>
          </w:p>
        </w:tc>
      </w:tr>
      <w:tr w:rsidR="00FA6DE4" w14:paraId="6D94AF2B" w14:textId="77777777">
        <w:trPr>
          <w:trHeight w:hRule="exact" w:val="188"/>
        </w:trPr>
        <w:tc>
          <w:tcPr>
            <w:tcW w:w="2900" w:type="dxa"/>
            <w:tcMar>
              <w:left w:w="0" w:type="dxa"/>
              <w:right w:w="0" w:type="dxa"/>
            </w:tcMar>
          </w:tcPr>
          <w:p w14:paraId="7E10B15E" w14:textId="77777777" w:rsidR="00FA6DE4" w:rsidRDefault="00000000">
            <w:pPr>
              <w:autoSpaceDE w:val="0"/>
              <w:autoSpaceDN w:val="0"/>
              <w:spacing w:after="0" w:line="208" w:lineRule="exact"/>
              <w:ind w:left="20"/>
            </w:pPr>
            <w:r>
              <w:rPr>
                <w:rFonts w:ascii="GillSansMTPro" w:eastAsia="GillSansMTPro" w:hAnsi="GillSansMTPro"/>
                <w:color w:val="221F1F"/>
                <w:sz w:val="18"/>
              </w:rPr>
              <w:t>Education</w:t>
            </w:r>
          </w:p>
        </w:tc>
        <w:tc>
          <w:tcPr>
            <w:tcW w:w="1060" w:type="dxa"/>
            <w:vMerge w:val="restart"/>
            <w:tcMar>
              <w:left w:w="0" w:type="dxa"/>
              <w:right w:w="0" w:type="dxa"/>
            </w:tcMar>
          </w:tcPr>
          <w:p w14:paraId="617166A5" w14:textId="77777777" w:rsidR="00FA6DE4" w:rsidRDefault="00000000">
            <w:pPr>
              <w:autoSpaceDE w:val="0"/>
              <w:autoSpaceDN w:val="0"/>
              <w:spacing w:before="194" w:after="0" w:line="210" w:lineRule="exact"/>
              <w:jc w:val="center"/>
            </w:pPr>
            <w:r>
              <w:rPr>
                <w:rFonts w:ascii="GillSansMTPro" w:eastAsia="GillSansMTPro" w:hAnsi="GillSansMTPro"/>
                <w:color w:val="221F1F"/>
                <w:sz w:val="18"/>
              </w:rPr>
              <w:t>5 (6.9)</w:t>
            </w:r>
          </w:p>
        </w:tc>
        <w:tc>
          <w:tcPr>
            <w:tcW w:w="2523" w:type="dxa"/>
            <w:vMerge/>
          </w:tcPr>
          <w:p w14:paraId="567BBFC0" w14:textId="77777777" w:rsidR="00FA6DE4" w:rsidRDefault="00FA6DE4"/>
        </w:tc>
        <w:tc>
          <w:tcPr>
            <w:tcW w:w="5080" w:type="dxa"/>
            <w:vMerge w:val="restart"/>
            <w:tcMar>
              <w:left w:w="0" w:type="dxa"/>
              <w:right w:w="0" w:type="dxa"/>
            </w:tcMar>
          </w:tcPr>
          <w:p w14:paraId="64781399" w14:textId="77777777" w:rsidR="00FA6DE4" w:rsidRDefault="00000000">
            <w:pPr>
              <w:autoSpaceDE w:val="0"/>
              <w:autoSpaceDN w:val="0"/>
              <w:spacing w:before="22" w:after="0" w:line="222" w:lineRule="exact"/>
              <w:ind w:left="190"/>
            </w:pPr>
            <w:r>
              <w:rPr>
                <w:rFonts w:ascii="TimesNewRomanPSMT" w:eastAsia="TimesNewRomanPSMT" w:hAnsi="TimesNewRomanPSMT"/>
                <w:color w:val="221F1F"/>
                <w:sz w:val="20"/>
              </w:rPr>
              <w:t xml:space="preserve">were required. Accelerometers readings needed to be </w:t>
            </w:r>
          </w:p>
        </w:tc>
      </w:tr>
      <w:tr w:rsidR="00FA6DE4" w14:paraId="3BC5C5F2" w14:textId="77777777">
        <w:trPr>
          <w:trHeight w:hRule="exact" w:val="56"/>
        </w:trPr>
        <w:tc>
          <w:tcPr>
            <w:tcW w:w="2900" w:type="dxa"/>
            <w:vMerge w:val="restart"/>
            <w:tcMar>
              <w:left w:w="0" w:type="dxa"/>
              <w:right w:w="0" w:type="dxa"/>
            </w:tcMar>
          </w:tcPr>
          <w:p w14:paraId="7C10F59C" w14:textId="77777777" w:rsidR="00FA6DE4" w:rsidRDefault="00000000">
            <w:pPr>
              <w:autoSpaceDE w:val="0"/>
              <w:autoSpaceDN w:val="0"/>
              <w:spacing w:before="6" w:after="0" w:line="210" w:lineRule="exact"/>
              <w:ind w:left="20"/>
            </w:pPr>
            <w:r>
              <w:rPr>
                <w:rFonts w:ascii="GillSansMTPro" w:eastAsia="GillSansMTPro" w:hAnsi="GillSansMTPro"/>
                <w:color w:val="221F1F"/>
                <w:sz w:val="18"/>
              </w:rPr>
              <w:t xml:space="preserve"> Less than high school</w:t>
            </w:r>
          </w:p>
        </w:tc>
        <w:tc>
          <w:tcPr>
            <w:tcW w:w="2523" w:type="dxa"/>
            <w:vMerge/>
          </w:tcPr>
          <w:p w14:paraId="31AB5E94" w14:textId="77777777" w:rsidR="00FA6DE4" w:rsidRDefault="00FA6DE4"/>
        </w:tc>
        <w:tc>
          <w:tcPr>
            <w:tcW w:w="2523" w:type="dxa"/>
            <w:vMerge/>
          </w:tcPr>
          <w:p w14:paraId="165825D1" w14:textId="77777777" w:rsidR="00FA6DE4" w:rsidRDefault="00FA6DE4"/>
        </w:tc>
        <w:tc>
          <w:tcPr>
            <w:tcW w:w="2523" w:type="dxa"/>
            <w:vMerge/>
          </w:tcPr>
          <w:p w14:paraId="4EAF726E" w14:textId="77777777" w:rsidR="00FA6DE4" w:rsidRDefault="00FA6DE4"/>
        </w:tc>
      </w:tr>
      <w:tr w:rsidR="00FA6DE4" w14:paraId="0760801F" w14:textId="77777777">
        <w:trPr>
          <w:trHeight w:hRule="exact" w:val="160"/>
        </w:trPr>
        <w:tc>
          <w:tcPr>
            <w:tcW w:w="2523" w:type="dxa"/>
            <w:vMerge/>
          </w:tcPr>
          <w:p w14:paraId="2D47A28B" w14:textId="77777777" w:rsidR="00FA6DE4" w:rsidRDefault="00FA6DE4"/>
        </w:tc>
        <w:tc>
          <w:tcPr>
            <w:tcW w:w="2523" w:type="dxa"/>
            <w:vMerge/>
          </w:tcPr>
          <w:p w14:paraId="303368DE" w14:textId="77777777" w:rsidR="00FA6DE4" w:rsidRDefault="00FA6DE4"/>
        </w:tc>
        <w:tc>
          <w:tcPr>
            <w:tcW w:w="2523" w:type="dxa"/>
            <w:vMerge/>
          </w:tcPr>
          <w:p w14:paraId="3F4AD33B" w14:textId="77777777" w:rsidR="00FA6DE4" w:rsidRDefault="00FA6DE4"/>
        </w:tc>
        <w:tc>
          <w:tcPr>
            <w:tcW w:w="5080" w:type="dxa"/>
            <w:vMerge w:val="restart"/>
            <w:tcMar>
              <w:left w:w="0" w:type="dxa"/>
              <w:right w:w="0" w:type="dxa"/>
            </w:tcMar>
          </w:tcPr>
          <w:p w14:paraId="34965C52"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retrieved at the second face-to-face data collection interview </w:t>
            </w:r>
          </w:p>
        </w:tc>
      </w:tr>
      <w:tr w:rsidR="00FA6DE4" w14:paraId="10F90F6D" w14:textId="77777777">
        <w:trPr>
          <w:trHeight w:hRule="exact" w:val="80"/>
        </w:trPr>
        <w:tc>
          <w:tcPr>
            <w:tcW w:w="2900" w:type="dxa"/>
            <w:vMerge w:val="restart"/>
            <w:tcMar>
              <w:left w:w="0" w:type="dxa"/>
              <w:right w:w="0" w:type="dxa"/>
            </w:tcMar>
          </w:tcPr>
          <w:p w14:paraId="1C1FDFEF" w14:textId="77777777" w:rsidR="00FA6DE4" w:rsidRDefault="00000000">
            <w:pPr>
              <w:autoSpaceDE w:val="0"/>
              <w:autoSpaceDN w:val="0"/>
              <w:spacing w:before="22" w:after="0" w:line="210" w:lineRule="exact"/>
              <w:ind w:left="20"/>
            </w:pPr>
            <w:r>
              <w:rPr>
                <w:rFonts w:ascii="GillSansMTPro" w:eastAsia="GillSansMTPro" w:hAnsi="GillSansMTPro"/>
                <w:color w:val="221F1F"/>
                <w:sz w:val="18"/>
              </w:rPr>
              <w:t xml:space="preserve"> High school</w:t>
            </w:r>
          </w:p>
        </w:tc>
        <w:tc>
          <w:tcPr>
            <w:tcW w:w="1060" w:type="dxa"/>
            <w:vMerge w:val="restart"/>
            <w:tcMar>
              <w:left w:w="0" w:type="dxa"/>
              <w:right w:w="0" w:type="dxa"/>
            </w:tcMar>
          </w:tcPr>
          <w:p w14:paraId="0DDE8FEC" w14:textId="77777777" w:rsidR="00FA6DE4" w:rsidRDefault="00000000">
            <w:pPr>
              <w:autoSpaceDE w:val="0"/>
              <w:autoSpaceDN w:val="0"/>
              <w:spacing w:before="22" w:after="0" w:line="210" w:lineRule="exact"/>
              <w:jc w:val="center"/>
            </w:pPr>
            <w:r>
              <w:rPr>
                <w:rFonts w:ascii="GillSansMTPro" w:eastAsia="GillSansMTPro" w:hAnsi="GillSansMTPro"/>
                <w:color w:val="221F1F"/>
                <w:sz w:val="18"/>
              </w:rPr>
              <w:t>22 (30.6)</w:t>
            </w:r>
          </w:p>
        </w:tc>
        <w:tc>
          <w:tcPr>
            <w:tcW w:w="2523" w:type="dxa"/>
            <w:vMerge/>
          </w:tcPr>
          <w:p w14:paraId="2E43F7C6" w14:textId="77777777" w:rsidR="00FA6DE4" w:rsidRDefault="00FA6DE4"/>
        </w:tc>
        <w:tc>
          <w:tcPr>
            <w:tcW w:w="2523" w:type="dxa"/>
            <w:vMerge/>
          </w:tcPr>
          <w:p w14:paraId="008532C3" w14:textId="77777777" w:rsidR="00FA6DE4" w:rsidRDefault="00FA6DE4"/>
        </w:tc>
      </w:tr>
      <w:tr w:rsidR="00FA6DE4" w14:paraId="290C5AAC" w14:textId="77777777">
        <w:trPr>
          <w:trHeight w:hRule="exact" w:val="160"/>
        </w:trPr>
        <w:tc>
          <w:tcPr>
            <w:tcW w:w="2523" w:type="dxa"/>
            <w:vMerge/>
          </w:tcPr>
          <w:p w14:paraId="3DD17EFF" w14:textId="77777777" w:rsidR="00FA6DE4" w:rsidRDefault="00FA6DE4"/>
        </w:tc>
        <w:tc>
          <w:tcPr>
            <w:tcW w:w="2523" w:type="dxa"/>
            <w:vMerge/>
          </w:tcPr>
          <w:p w14:paraId="2901DD09" w14:textId="77777777" w:rsidR="00FA6DE4" w:rsidRDefault="00FA6DE4"/>
        </w:tc>
        <w:tc>
          <w:tcPr>
            <w:tcW w:w="2523" w:type="dxa"/>
            <w:vMerge/>
          </w:tcPr>
          <w:p w14:paraId="47895CB7" w14:textId="77777777" w:rsidR="00FA6DE4" w:rsidRDefault="00FA6DE4"/>
        </w:tc>
        <w:tc>
          <w:tcPr>
            <w:tcW w:w="5080" w:type="dxa"/>
            <w:vMerge w:val="restart"/>
            <w:tcMar>
              <w:left w:w="0" w:type="dxa"/>
              <w:right w:w="0" w:type="dxa"/>
            </w:tcMar>
          </w:tcPr>
          <w:p w14:paraId="7BB6A607"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so study participation could be completed. To recruit and </w:t>
            </w:r>
          </w:p>
        </w:tc>
      </w:tr>
      <w:tr w:rsidR="00FA6DE4" w14:paraId="621DA7A9" w14:textId="77777777">
        <w:trPr>
          <w:trHeight w:hRule="exact" w:val="80"/>
        </w:trPr>
        <w:tc>
          <w:tcPr>
            <w:tcW w:w="2900" w:type="dxa"/>
            <w:vMerge w:val="restart"/>
            <w:tcMar>
              <w:left w:w="0" w:type="dxa"/>
              <w:right w:w="0" w:type="dxa"/>
            </w:tcMar>
          </w:tcPr>
          <w:p w14:paraId="59FF4356"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Some college</w:t>
            </w:r>
          </w:p>
        </w:tc>
        <w:tc>
          <w:tcPr>
            <w:tcW w:w="1060" w:type="dxa"/>
            <w:vMerge w:val="restart"/>
            <w:tcMar>
              <w:left w:w="0" w:type="dxa"/>
              <w:right w:w="0" w:type="dxa"/>
            </w:tcMar>
          </w:tcPr>
          <w:p w14:paraId="30C725B1"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10 (13.9)</w:t>
            </w:r>
          </w:p>
        </w:tc>
        <w:tc>
          <w:tcPr>
            <w:tcW w:w="2523" w:type="dxa"/>
            <w:vMerge/>
          </w:tcPr>
          <w:p w14:paraId="62FDBCE8" w14:textId="77777777" w:rsidR="00FA6DE4" w:rsidRDefault="00FA6DE4"/>
        </w:tc>
        <w:tc>
          <w:tcPr>
            <w:tcW w:w="2523" w:type="dxa"/>
            <w:vMerge/>
          </w:tcPr>
          <w:p w14:paraId="3B4506AB" w14:textId="77777777" w:rsidR="00FA6DE4" w:rsidRDefault="00FA6DE4"/>
        </w:tc>
      </w:tr>
      <w:tr w:rsidR="00FA6DE4" w14:paraId="77C4101E" w14:textId="77777777">
        <w:trPr>
          <w:trHeight w:hRule="exact" w:val="140"/>
        </w:trPr>
        <w:tc>
          <w:tcPr>
            <w:tcW w:w="2523" w:type="dxa"/>
            <w:vMerge/>
          </w:tcPr>
          <w:p w14:paraId="26B5DA8F" w14:textId="77777777" w:rsidR="00FA6DE4" w:rsidRDefault="00FA6DE4"/>
        </w:tc>
        <w:tc>
          <w:tcPr>
            <w:tcW w:w="2523" w:type="dxa"/>
            <w:vMerge/>
          </w:tcPr>
          <w:p w14:paraId="298E6376" w14:textId="77777777" w:rsidR="00FA6DE4" w:rsidRDefault="00FA6DE4"/>
        </w:tc>
        <w:tc>
          <w:tcPr>
            <w:tcW w:w="2523" w:type="dxa"/>
            <w:vMerge/>
          </w:tcPr>
          <w:p w14:paraId="568A7298" w14:textId="77777777" w:rsidR="00FA6DE4" w:rsidRDefault="00FA6DE4"/>
        </w:tc>
        <w:tc>
          <w:tcPr>
            <w:tcW w:w="5080" w:type="dxa"/>
            <w:vMerge w:val="restart"/>
            <w:tcMar>
              <w:left w:w="0" w:type="dxa"/>
              <w:right w:w="0" w:type="dxa"/>
            </w:tcMar>
          </w:tcPr>
          <w:p w14:paraId="185B0B0F"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retain participants successfully and increase the study com-</w:t>
            </w:r>
          </w:p>
        </w:tc>
      </w:tr>
      <w:tr w:rsidR="00FA6DE4" w14:paraId="3BCA9CFD" w14:textId="77777777">
        <w:trPr>
          <w:trHeight w:hRule="exact" w:val="100"/>
        </w:trPr>
        <w:tc>
          <w:tcPr>
            <w:tcW w:w="2900" w:type="dxa"/>
            <w:vMerge w:val="restart"/>
            <w:tcMar>
              <w:left w:w="0" w:type="dxa"/>
              <w:right w:w="0" w:type="dxa"/>
            </w:tcMar>
          </w:tcPr>
          <w:p w14:paraId="37AB4EA7"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2-year college degree (Associates)</w:t>
            </w:r>
          </w:p>
        </w:tc>
        <w:tc>
          <w:tcPr>
            <w:tcW w:w="1060" w:type="dxa"/>
            <w:vMerge w:val="restart"/>
            <w:tcMar>
              <w:left w:w="0" w:type="dxa"/>
              <w:right w:w="0" w:type="dxa"/>
            </w:tcMar>
          </w:tcPr>
          <w:p w14:paraId="41F52AF8"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12 (16.7)</w:t>
            </w:r>
          </w:p>
        </w:tc>
        <w:tc>
          <w:tcPr>
            <w:tcW w:w="2523" w:type="dxa"/>
            <w:vMerge/>
          </w:tcPr>
          <w:p w14:paraId="757E3ED0" w14:textId="77777777" w:rsidR="00FA6DE4" w:rsidRDefault="00FA6DE4"/>
        </w:tc>
        <w:tc>
          <w:tcPr>
            <w:tcW w:w="2523" w:type="dxa"/>
            <w:vMerge/>
          </w:tcPr>
          <w:p w14:paraId="073C9FC9" w14:textId="77777777" w:rsidR="00FA6DE4" w:rsidRDefault="00FA6DE4"/>
        </w:tc>
      </w:tr>
      <w:tr w:rsidR="00FA6DE4" w14:paraId="20F5C23A" w14:textId="77777777">
        <w:trPr>
          <w:trHeight w:hRule="exact" w:val="120"/>
        </w:trPr>
        <w:tc>
          <w:tcPr>
            <w:tcW w:w="2523" w:type="dxa"/>
            <w:vMerge/>
          </w:tcPr>
          <w:p w14:paraId="66F56DE0" w14:textId="77777777" w:rsidR="00FA6DE4" w:rsidRDefault="00FA6DE4"/>
        </w:tc>
        <w:tc>
          <w:tcPr>
            <w:tcW w:w="2523" w:type="dxa"/>
            <w:vMerge/>
          </w:tcPr>
          <w:p w14:paraId="70850DA7" w14:textId="77777777" w:rsidR="00FA6DE4" w:rsidRDefault="00FA6DE4"/>
        </w:tc>
        <w:tc>
          <w:tcPr>
            <w:tcW w:w="2523" w:type="dxa"/>
            <w:vMerge/>
          </w:tcPr>
          <w:p w14:paraId="3B69B35C" w14:textId="77777777" w:rsidR="00FA6DE4" w:rsidRDefault="00FA6DE4"/>
        </w:tc>
        <w:tc>
          <w:tcPr>
            <w:tcW w:w="5080" w:type="dxa"/>
            <w:vMerge w:val="restart"/>
            <w:tcMar>
              <w:left w:w="0" w:type="dxa"/>
              <w:right w:w="0" w:type="dxa"/>
            </w:tcMar>
          </w:tcPr>
          <w:p w14:paraId="61129547"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pletion rate, research staff tried whenever possible to adjust </w:t>
            </w:r>
          </w:p>
        </w:tc>
      </w:tr>
      <w:tr w:rsidR="00FA6DE4" w14:paraId="0B18ED8B" w14:textId="77777777">
        <w:trPr>
          <w:trHeight w:hRule="exact" w:val="120"/>
        </w:trPr>
        <w:tc>
          <w:tcPr>
            <w:tcW w:w="2900" w:type="dxa"/>
            <w:vMerge w:val="restart"/>
            <w:tcMar>
              <w:left w:w="0" w:type="dxa"/>
              <w:right w:w="0" w:type="dxa"/>
            </w:tcMar>
          </w:tcPr>
          <w:p w14:paraId="0F28E119" w14:textId="77777777" w:rsidR="00FA6DE4" w:rsidRDefault="00000000">
            <w:pPr>
              <w:autoSpaceDE w:val="0"/>
              <w:autoSpaceDN w:val="0"/>
              <w:spacing w:before="26" w:after="0" w:line="210" w:lineRule="exact"/>
              <w:ind w:left="20"/>
            </w:pPr>
            <w:r>
              <w:rPr>
                <w:rFonts w:ascii="GillSansMTPro" w:eastAsia="GillSansMTPro" w:hAnsi="GillSansMTPro"/>
                <w:color w:val="221F1F"/>
                <w:sz w:val="18"/>
              </w:rPr>
              <w:t xml:space="preserve"> 4-year college degree (BA, BS)</w:t>
            </w:r>
          </w:p>
        </w:tc>
        <w:tc>
          <w:tcPr>
            <w:tcW w:w="1060" w:type="dxa"/>
            <w:vMerge w:val="restart"/>
            <w:tcMar>
              <w:left w:w="0" w:type="dxa"/>
              <w:right w:w="0" w:type="dxa"/>
            </w:tcMar>
          </w:tcPr>
          <w:p w14:paraId="2E502E23" w14:textId="77777777" w:rsidR="00FA6DE4" w:rsidRDefault="00000000">
            <w:pPr>
              <w:autoSpaceDE w:val="0"/>
              <w:autoSpaceDN w:val="0"/>
              <w:spacing w:before="26" w:after="0" w:line="210" w:lineRule="exact"/>
              <w:jc w:val="center"/>
            </w:pPr>
            <w:r>
              <w:rPr>
                <w:rFonts w:ascii="GillSansMTPro" w:eastAsia="GillSansMTPro" w:hAnsi="GillSansMTPro"/>
                <w:color w:val="221F1F"/>
                <w:sz w:val="18"/>
              </w:rPr>
              <w:t>18 (25.0)</w:t>
            </w:r>
          </w:p>
        </w:tc>
        <w:tc>
          <w:tcPr>
            <w:tcW w:w="2523" w:type="dxa"/>
            <w:vMerge/>
          </w:tcPr>
          <w:p w14:paraId="5506B514" w14:textId="77777777" w:rsidR="00FA6DE4" w:rsidRDefault="00FA6DE4"/>
        </w:tc>
        <w:tc>
          <w:tcPr>
            <w:tcW w:w="2523" w:type="dxa"/>
            <w:vMerge/>
          </w:tcPr>
          <w:p w14:paraId="7D5D9B3A" w14:textId="77777777" w:rsidR="00FA6DE4" w:rsidRDefault="00FA6DE4"/>
        </w:tc>
      </w:tr>
      <w:tr w:rsidR="00FA6DE4" w14:paraId="480C1E91" w14:textId="77777777">
        <w:trPr>
          <w:trHeight w:hRule="exact" w:val="120"/>
        </w:trPr>
        <w:tc>
          <w:tcPr>
            <w:tcW w:w="2523" w:type="dxa"/>
            <w:vMerge/>
          </w:tcPr>
          <w:p w14:paraId="565DAF82" w14:textId="77777777" w:rsidR="00FA6DE4" w:rsidRDefault="00FA6DE4"/>
        </w:tc>
        <w:tc>
          <w:tcPr>
            <w:tcW w:w="2523" w:type="dxa"/>
            <w:vMerge/>
          </w:tcPr>
          <w:p w14:paraId="6322E90A" w14:textId="77777777" w:rsidR="00FA6DE4" w:rsidRDefault="00FA6DE4"/>
        </w:tc>
        <w:tc>
          <w:tcPr>
            <w:tcW w:w="2523" w:type="dxa"/>
            <w:vMerge/>
          </w:tcPr>
          <w:p w14:paraId="4D53042A" w14:textId="77777777" w:rsidR="00FA6DE4" w:rsidRDefault="00FA6DE4"/>
        </w:tc>
        <w:tc>
          <w:tcPr>
            <w:tcW w:w="5080" w:type="dxa"/>
            <w:vMerge w:val="restart"/>
            <w:tcMar>
              <w:left w:w="0" w:type="dxa"/>
              <w:right w:w="0" w:type="dxa"/>
            </w:tcMar>
          </w:tcPr>
          <w:p w14:paraId="04D3AFCE"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their own schedules, including weekend availability, to </w:t>
            </w:r>
          </w:p>
        </w:tc>
      </w:tr>
      <w:tr w:rsidR="00FA6DE4" w14:paraId="346DC5FD" w14:textId="77777777">
        <w:trPr>
          <w:trHeight w:hRule="exact" w:val="120"/>
        </w:trPr>
        <w:tc>
          <w:tcPr>
            <w:tcW w:w="2900" w:type="dxa"/>
            <w:vMerge w:val="restart"/>
            <w:tcMar>
              <w:left w:w="0" w:type="dxa"/>
              <w:right w:w="0" w:type="dxa"/>
            </w:tcMar>
          </w:tcPr>
          <w:p w14:paraId="13FD8B60"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Master’s degree or higher</w:t>
            </w:r>
          </w:p>
        </w:tc>
        <w:tc>
          <w:tcPr>
            <w:tcW w:w="1060" w:type="dxa"/>
            <w:vMerge w:val="restart"/>
            <w:tcMar>
              <w:left w:w="0" w:type="dxa"/>
              <w:right w:w="0" w:type="dxa"/>
            </w:tcMar>
          </w:tcPr>
          <w:p w14:paraId="00D8AE88"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5 (6.9)</w:t>
            </w:r>
          </w:p>
        </w:tc>
        <w:tc>
          <w:tcPr>
            <w:tcW w:w="2523" w:type="dxa"/>
            <w:vMerge/>
          </w:tcPr>
          <w:p w14:paraId="13AC43EB" w14:textId="77777777" w:rsidR="00FA6DE4" w:rsidRDefault="00FA6DE4"/>
        </w:tc>
        <w:tc>
          <w:tcPr>
            <w:tcW w:w="2523" w:type="dxa"/>
            <w:vMerge/>
          </w:tcPr>
          <w:p w14:paraId="52B63DCD" w14:textId="77777777" w:rsidR="00FA6DE4" w:rsidRDefault="00FA6DE4"/>
        </w:tc>
      </w:tr>
      <w:tr w:rsidR="00FA6DE4" w14:paraId="54C35A71" w14:textId="77777777">
        <w:trPr>
          <w:trHeight w:hRule="exact" w:val="100"/>
        </w:trPr>
        <w:tc>
          <w:tcPr>
            <w:tcW w:w="2523" w:type="dxa"/>
            <w:vMerge/>
          </w:tcPr>
          <w:p w14:paraId="72515B44" w14:textId="77777777" w:rsidR="00FA6DE4" w:rsidRDefault="00FA6DE4"/>
        </w:tc>
        <w:tc>
          <w:tcPr>
            <w:tcW w:w="2523" w:type="dxa"/>
            <w:vMerge/>
          </w:tcPr>
          <w:p w14:paraId="3627302C" w14:textId="77777777" w:rsidR="00FA6DE4" w:rsidRDefault="00FA6DE4"/>
        </w:tc>
        <w:tc>
          <w:tcPr>
            <w:tcW w:w="2523" w:type="dxa"/>
            <w:vMerge/>
          </w:tcPr>
          <w:p w14:paraId="186FD430" w14:textId="77777777" w:rsidR="00FA6DE4" w:rsidRDefault="00FA6DE4"/>
        </w:tc>
        <w:tc>
          <w:tcPr>
            <w:tcW w:w="5080" w:type="dxa"/>
            <w:vMerge w:val="restart"/>
            <w:tcMar>
              <w:left w:w="0" w:type="dxa"/>
              <w:right w:w="0" w:type="dxa"/>
            </w:tcMar>
          </w:tcPr>
          <w:p w14:paraId="152C04DD" w14:textId="77777777" w:rsidR="00FA6DE4" w:rsidRDefault="00000000">
            <w:pPr>
              <w:autoSpaceDE w:val="0"/>
              <w:autoSpaceDN w:val="0"/>
              <w:spacing w:before="20" w:after="0" w:line="222" w:lineRule="exact"/>
              <w:ind w:left="190"/>
            </w:pPr>
            <w:r>
              <w:rPr>
                <w:rFonts w:ascii="TimesNewRomanPSMT" w:eastAsia="TimesNewRomanPSMT" w:hAnsi="TimesNewRomanPSMT"/>
                <w:color w:val="221F1F"/>
                <w:sz w:val="20"/>
              </w:rPr>
              <w:t xml:space="preserve">accommodate the most convenient times for participants. </w:t>
            </w:r>
          </w:p>
        </w:tc>
      </w:tr>
      <w:tr w:rsidR="00FA6DE4" w14:paraId="3928E0B6" w14:textId="77777777">
        <w:trPr>
          <w:trHeight w:hRule="exact" w:val="152"/>
        </w:trPr>
        <w:tc>
          <w:tcPr>
            <w:tcW w:w="2900" w:type="dxa"/>
            <w:vMerge w:val="restart"/>
            <w:tcMar>
              <w:left w:w="0" w:type="dxa"/>
              <w:right w:w="0" w:type="dxa"/>
            </w:tcMar>
          </w:tcPr>
          <w:p w14:paraId="657177D1" w14:textId="77777777" w:rsidR="00FA6DE4" w:rsidRDefault="00000000">
            <w:pPr>
              <w:autoSpaceDE w:val="0"/>
              <w:autoSpaceDN w:val="0"/>
              <w:spacing w:before="22" w:after="0" w:line="210" w:lineRule="exact"/>
              <w:ind w:left="20"/>
            </w:pPr>
            <w:r>
              <w:rPr>
                <w:rFonts w:ascii="GillSansMTPro" w:eastAsia="GillSansMTPro" w:hAnsi="GillSansMTPro"/>
                <w:color w:val="221F1F"/>
                <w:sz w:val="18"/>
              </w:rPr>
              <w:t>Annual household income</w:t>
            </w:r>
          </w:p>
        </w:tc>
        <w:tc>
          <w:tcPr>
            <w:tcW w:w="1060" w:type="dxa"/>
            <w:vMerge w:val="restart"/>
            <w:tcMar>
              <w:left w:w="0" w:type="dxa"/>
              <w:right w:w="0" w:type="dxa"/>
            </w:tcMar>
          </w:tcPr>
          <w:p w14:paraId="4D0E73CD" w14:textId="77777777" w:rsidR="00FA6DE4" w:rsidRDefault="00000000">
            <w:pPr>
              <w:autoSpaceDE w:val="0"/>
              <w:autoSpaceDN w:val="0"/>
              <w:spacing w:before="250" w:after="0" w:line="210" w:lineRule="exact"/>
              <w:jc w:val="center"/>
            </w:pPr>
            <w:r>
              <w:rPr>
                <w:rFonts w:ascii="GillSansMTPro" w:eastAsia="GillSansMTPro" w:hAnsi="GillSansMTPro"/>
                <w:color w:val="221F1F"/>
                <w:sz w:val="18"/>
              </w:rPr>
              <w:t>12 (16.9)</w:t>
            </w:r>
          </w:p>
        </w:tc>
        <w:tc>
          <w:tcPr>
            <w:tcW w:w="2523" w:type="dxa"/>
            <w:vMerge/>
          </w:tcPr>
          <w:p w14:paraId="3E7D685F" w14:textId="77777777" w:rsidR="00FA6DE4" w:rsidRDefault="00FA6DE4"/>
        </w:tc>
        <w:tc>
          <w:tcPr>
            <w:tcW w:w="2523" w:type="dxa"/>
            <w:vMerge/>
          </w:tcPr>
          <w:p w14:paraId="6C19E9BD" w14:textId="77777777" w:rsidR="00FA6DE4" w:rsidRDefault="00FA6DE4"/>
        </w:tc>
      </w:tr>
      <w:tr w:rsidR="00FA6DE4" w14:paraId="79E5792E" w14:textId="77777777">
        <w:trPr>
          <w:trHeight w:hRule="exact" w:val="90"/>
        </w:trPr>
        <w:tc>
          <w:tcPr>
            <w:tcW w:w="2523" w:type="dxa"/>
            <w:vMerge/>
          </w:tcPr>
          <w:p w14:paraId="70417311" w14:textId="77777777" w:rsidR="00FA6DE4" w:rsidRDefault="00FA6DE4"/>
        </w:tc>
        <w:tc>
          <w:tcPr>
            <w:tcW w:w="2523" w:type="dxa"/>
            <w:vMerge/>
          </w:tcPr>
          <w:p w14:paraId="19E841EC" w14:textId="77777777" w:rsidR="00FA6DE4" w:rsidRDefault="00FA6DE4"/>
        </w:tc>
        <w:tc>
          <w:tcPr>
            <w:tcW w:w="2523" w:type="dxa"/>
            <w:vMerge/>
          </w:tcPr>
          <w:p w14:paraId="7E35C030" w14:textId="77777777" w:rsidR="00FA6DE4" w:rsidRDefault="00FA6DE4"/>
        </w:tc>
        <w:tc>
          <w:tcPr>
            <w:tcW w:w="5080" w:type="dxa"/>
            <w:vMerge w:val="restart"/>
            <w:tcMar>
              <w:left w:w="0" w:type="dxa"/>
              <w:right w:w="0" w:type="dxa"/>
            </w:tcMar>
          </w:tcPr>
          <w:p w14:paraId="6F1B0040" w14:textId="77777777" w:rsidR="00FA6DE4" w:rsidRDefault="00000000">
            <w:pPr>
              <w:autoSpaceDE w:val="0"/>
              <w:autoSpaceDN w:val="0"/>
              <w:spacing w:before="6" w:after="0" w:line="222" w:lineRule="exact"/>
              <w:ind w:left="190"/>
            </w:pPr>
            <w:r>
              <w:rPr>
                <w:rFonts w:ascii="TimesNewRomanPSMT" w:eastAsia="TimesNewRomanPSMT" w:hAnsi="TimesNewRomanPSMT"/>
                <w:color w:val="221F1F"/>
                <w:sz w:val="20"/>
              </w:rPr>
              <w:t xml:space="preserve">Although this flexibility may have resulted in what appeared </w:t>
            </w:r>
          </w:p>
        </w:tc>
      </w:tr>
      <w:tr w:rsidR="00FA6DE4" w14:paraId="6DCC56A7" w14:textId="77777777">
        <w:trPr>
          <w:trHeight w:hRule="exact" w:val="138"/>
        </w:trPr>
        <w:tc>
          <w:tcPr>
            <w:tcW w:w="2900" w:type="dxa"/>
            <w:vMerge w:val="restart"/>
            <w:tcMar>
              <w:left w:w="0" w:type="dxa"/>
              <w:right w:w="0" w:type="dxa"/>
            </w:tcMar>
          </w:tcPr>
          <w:p w14:paraId="7366C322" w14:textId="77777777" w:rsidR="00FA6DE4" w:rsidRDefault="00000000">
            <w:pPr>
              <w:autoSpaceDE w:val="0"/>
              <w:autoSpaceDN w:val="0"/>
              <w:spacing w:before="8" w:after="0" w:line="210" w:lineRule="exact"/>
              <w:ind w:left="20"/>
            </w:pPr>
            <w:r>
              <w:rPr>
                <w:rFonts w:ascii="GillSansMTPro" w:eastAsia="GillSansMTPro" w:hAnsi="GillSansMTPro"/>
                <w:color w:val="221F1F"/>
                <w:sz w:val="18"/>
              </w:rPr>
              <w:t xml:space="preserve"> Less than $10,000</w:t>
            </w:r>
          </w:p>
        </w:tc>
        <w:tc>
          <w:tcPr>
            <w:tcW w:w="2523" w:type="dxa"/>
            <w:vMerge/>
          </w:tcPr>
          <w:p w14:paraId="4858DF12" w14:textId="77777777" w:rsidR="00FA6DE4" w:rsidRDefault="00FA6DE4"/>
        </w:tc>
        <w:tc>
          <w:tcPr>
            <w:tcW w:w="2523" w:type="dxa"/>
            <w:vMerge/>
          </w:tcPr>
          <w:p w14:paraId="147288CA" w14:textId="77777777" w:rsidR="00FA6DE4" w:rsidRDefault="00FA6DE4"/>
        </w:tc>
        <w:tc>
          <w:tcPr>
            <w:tcW w:w="2523" w:type="dxa"/>
            <w:vMerge/>
          </w:tcPr>
          <w:p w14:paraId="08F6594B" w14:textId="77777777" w:rsidR="00FA6DE4" w:rsidRDefault="00FA6DE4"/>
        </w:tc>
      </w:tr>
      <w:tr w:rsidR="00FA6DE4" w14:paraId="4DB16E21" w14:textId="77777777">
        <w:trPr>
          <w:trHeight w:hRule="exact" w:val="80"/>
        </w:trPr>
        <w:tc>
          <w:tcPr>
            <w:tcW w:w="2523" w:type="dxa"/>
            <w:vMerge/>
          </w:tcPr>
          <w:p w14:paraId="53253EA6" w14:textId="77777777" w:rsidR="00FA6DE4" w:rsidRDefault="00FA6DE4"/>
        </w:tc>
        <w:tc>
          <w:tcPr>
            <w:tcW w:w="2523" w:type="dxa"/>
            <w:vMerge/>
          </w:tcPr>
          <w:p w14:paraId="56E15B6B" w14:textId="77777777" w:rsidR="00FA6DE4" w:rsidRDefault="00FA6DE4"/>
        </w:tc>
        <w:tc>
          <w:tcPr>
            <w:tcW w:w="2523" w:type="dxa"/>
            <w:vMerge/>
          </w:tcPr>
          <w:p w14:paraId="1E7CEE0A" w14:textId="77777777" w:rsidR="00FA6DE4" w:rsidRDefault="00FA6DE4"/>
        </w:tc>
        <w:tc>
          <w:tcPr>
            <w:tcW w:w="5080" w:type="dxa"/>
            <w:vMerge w:val="restart"/>
            <w:tcMar>
              <w:left w:w="0" w:type="dxa"/>
              <w:right w:w="0" w:type="dxa"/>
            </w:tcMar>
          </w:tcPr>
          <w:p w14:paraId="39C4CB20"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to be an inefficient use of researchers’ time, it was very effec-</w:t>
            </w:r>
          </w:p>
        </w:tc>
      </w:tr>
      <w:tr w:rsidR="00FA6DE4" w14:paraId="0BC7121B" w14:textId="77777777">
        <w:trPr>
          <w:trHeight w:hRule="exact" w:val="160"/>
        </w:trPr>
        <w:tc>
          <w:tcPr>
            <w:tcW w:w="2900" w:type="dxa"/>
            <w:vMerge w:val="restart"/>
            <w:tcMar>
              <w:left w:w="0" w:type="dxa"/>
              <w:right w:w="0" w:type="dxa"/>
            </w:tcMar>
          </w:tcPr>
          <w:p w14:paraId="2ADACA39"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$10,000-$19,999</w:t>
            </w:r>
          </w:p>
        </w:tc>
        <w:tc>
          <w:tcPr>
            <w:tcW w:w="1060" w:type="dxa"/>
            <w:vMerge w:val="restart"/>
            <w:tcMar>
              <w:left w:w="0" w:type="dxa"/>
              <w:right w:w="0" w:type="dxa"/>
            </w:tcMar>
          </w:tcPr>
          <w:p w14:paraId="268CA534"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10 (14.1)</w:t>
            </w:r>
          </w:p>
        </w:tc>
        <w:tc>
          <w:tcPr>
            <w:tcW w:w="2523" w:type="dxa"/>
            <w:vMerge/>
          </w:tcPr>
          <w:p w14:paraId="7CAA9414" w14:textId="77777777" w:rsidR="00FA6DE4" w:rsidRDefault="00FA6DE4"/>
        </w:tc>
        <w:tc>
          <w:tcPr>
            <w:tcW w:w="2523" w:type="dxa"/>
            <w:vMerge/>
          </w:tcPr>
          <w:p w14:paraId="36FFBB74" w14:textId="77777777" w:rsidR="00FA6DE4" w:rsidRDefault="00FA6DE4"/>
        </w:tc>
      </w:tr>
      <w:tr w:rsidR="00FA6DE4" w14:paraId="0390B855" w14:textId="77777777">
        <w:trPr>
          <w:trHeight w:hRule="exact" w:val="60"/>
        </w:trPr>
        <w:tc>
          <w:tcPr>
            <w:tcW w:w="2523" w:type="dxa"/>
            <w:vMerge/>
          </w:tcPr>
          <w:p w14:paraId="6F0E5BCA" w14:textId="77777777" w:rsidR="00FA6DE4" w:rsidRDefault="00FA6DE4"/>
        </w:tc>
        <w:tc>
          <w:tcPr>
            <w:tcW w:w="2523" w:type="dxa"/>
            <w:vMerge/>
          </w:tcPr>
          <w:p w14:paraId="14E44740" w14:textId="77777777" w:rsidR="00FA6DE4" w:rsidRDefault="00FA6DE4"/>
        </w:tc>
        <w:tc>
          <w:tcPr>
            <w:tcW w:w="2523" w:type="dxa"/>
            <w:vMerge/>
          </w:tcPr>
          <w:p w14:paraId="148E2743" w14:textId="77777777" w:rsidR="00FA6DE4" w:rsidRDefault="00FA6DE4"/>
        </w:tc>
        <w:tc>
          <w:tcPr>
            <w:tcW w:w="5080" w:type="dxa"/>
            <w:vMerge w:val="restart"/>
            <w:tcMar>
              <w:left w:w="0" w:type="dxa"/>
              <w:right w:w="0" w:type="dxa"/>
            </w:tcMar>
          </w:tcPr>
          <w:p w14:paraId="2C84F3FB" w14:textId="77777777" w:rsidR="00FA6DE4" w:rsidRDefault="00000000">
            <w:pPr>
              <w:autoSpaceDE w:val="0"/>
              <w:autoSpaceDN w:val="0"/>
              <w:spacing w:before="20" w:after="0" w:line="222" w:lineRule="exact"/>
              <w:ind w:left="190"/>
            </w:pPr>
            <w:r>
              <w:rPr>
                <w:rFonts w:ascii="TimesNewRomanPSMT" w:eastAsia="TimesNewRomanPSMT" w:hAnsi="TimesNewRomanPSMT"/>
                <w:color w:val="221F1F"/>
                <w:sz w:val="20"/>
              </w:rPr>
              <w:t xml:space="preserve">tive in achieving the goal of recruitment and better retention </w:t>
            </w:r>
          </w:p>
        </w:tc>
      </w:tr>
      <w:tr w:rsidR="00FA6DE4" w14:paraId="25A06BAC" w14:textId="77777777">
        <w:trPr>
          <w:trHeight w:hRule="exact" w:val="200"/>
        </w:trPr>
        <w:tc>
          <w:tcPr>
            <w:tcW w:w="2900" w:type="dxa"/>
            <w:vMerge w:val="restart"/>
            <w:tcMar>
              <w:left w:w="0" w:type="dxa"/>
              <w:right w:w="0" w:type="dxa"/>
            </w:tcMar>
          </w:tcPr>
          <w:p w14:paraId="61FC47AE" w14:textId="77777777" w:rsidR="00FA6DE4" w:rsidRDefault="00000000">
            <w:pPr>
              <w:autoSpaceDE w:val="0"/>
              <w:autoSpaceDN w:val="0"/>
              <w:spacing w:before="26" w:after="0" w:line="210" w:lineRule="exact"/>
              <w:ind w:left="20"/>
            </w:pPr>
            <w:r>
              <w:rPr>
                <w:rFonts w:ascii="GillSansMTPro" w:eastAsia="GillSansMTPro" w:hAnsi="GillSansMTPro"/>
                <w:color w:val="221F1F"/>
                <w:sz w:val="18"/>
              </w:rPr>
              <w:t xml:space="preserve"> $20,000-$29,999</w:t>
            </w:r>
          </w:p>
        </w:tc>
        <w:tc>
          <w:tcPr>
            <w:tcW w:w="1060" w:type="dxa"/>
            <w:vMerge w:val="restart"/>
            <w:tcMar>
              <w:left w:w="0" w:type="dxa"/>
              <w:right w:w="0" w:type="dxa"/>
            </w:tcMar>
          </w:tcPr>
          <w:p w14:paraId="2656BDE5" w14:textId="77777777" w:rsidR="00FA6DE4" w:rsidRDefault="00000000">
            <w:pPr>
              <w:autoSpaceDE w:val="0"/>
              <w:autoSpaceDN w:val="0"/>
              <w:spacing w:before="26" w:after="0" w:line="210" w:lineRule="exact"/>
              <w:ind w:right="190"/>
              <w:jc w:val="right"/>
            </w:pPr>
            <w:r>
              <w:rPr>
                <w:rFonts w:ascii="GillSansMTPro" w:eastAsia="GillSansMTPro" w:hAnsi="GillSansMTPro"/>
                <w:color w:val="221F1F"/>
                <w:sz w:val="18"/>
              </w:rPr>
              <w:t>8 (11.3)</w:t>
            </w:r>
          </w:p>
        </w:tc>
        <w:tc>
          <w:tcPr>
            <w:tcW w:w="2523" w:type="dxa"/>
            <w:vMerge/>
          </w:tcPr>
          <w:p w14:paraId="68BFD24E" w14:textId="77777777" w:rsidR="00FA6DE4" w:rsidRDefault="00FA6DE4"/>
        </w:tc>
        <w:tc>
          <w:tcPr>
            <w:tcW w:w="2523" w:type="dxa"/>
            <w:vMerge/>
          </w:tcPr>
          <w:p w14:paraId="21F3EB8E" w14:textId="77777777" w:rsidR="00FA6DE4" w:rsidRDefault="00FA6DE4"/>
        </w:tc>
      </w:tr>
      <w:tr w:rsidR="00FA6DE4" w14:paraId="31B560B4" w14:textId="77777777">
        <w:trPr>
          <w:trHeight w:hRule="exact" w:val="44"/>
        </w:trPr>
        <w:tc>
          <w:tcPr>
            <w:tcW w:w="2523" w:type="dxa"/>
            <w:vMerge/>
          </w:tcPr>
          <w:p w14:paraId="164F6B18" w14:textId="77777777" w:rsidR="00FA6DE4" w:rsidRDefault="00FA6DE4"/>
        </w:tc>
        <w:tc>
          <w:tcPr>
            <w:tcW w:w="2523" w:type="dxa"/>
            <w:vMerge/>
          </w:tcPr>
          <w:p w14:paraId="7FCC47BD" w14:textId="77777777" w:rsidR="00FA6DE4" w:rsidRDefault="00FA6DE4"/>
        </w:tc>
        <w:tc>
          <w:tcPr>
            <w:tcW w:w="2523" w:type="dxa"/>
            <w:vMerge/>
          </w:tcPr>
          <w:p w14:paraId="5AE91D90" w14:textId="77777777" w:rsidR="00FA6DE4" w:rsidRDefault="00FA6DE4"/>
        </w:tc>
        <w:tc>
          <w:tcPr>
            <w:tcW w:w="5080" w:type="dxa"/>
            <w:vMerge w:val="restart"/>
            <w:tcMar>
              <w:left w:w="0" w:type="dxa"/>
              <w:right w:w="0" w:type="dxa"/>
            </w:tcMar>
          </w:tcPr>
          <w:p w14:paraId="3C1FF98D" w14:textId="77777777" w:rsidR="00FA6DE4" w:rsidRDefault="00000000">
            <w:pPr>
              <w:autoSpaceDE w:val="0"/>
              <w:autoSpaceDN w:val="0"/>
              <w:spacing w:after="0" w:line="222" w:lineRule="exact"/>
              <w:ind w:left="190"/>
            </w:pPr>
            <w:r>
              <w:rPr>
                <w:rFonts w:ascii="TimesNewRomanPSMT" w:eastAsia="TimesNewRomanPSMT" w:hAnsi="TimesNewRomanPSMT"/>
                <w:color w:val="221F1F"/>
                <w:sz w:val="20"/>
              </w:rPr>
              <w:t xml:space="preserve">of study participants. Moreover, having the same research </w:t>
            </w:r>
          </w:p>
        </w:tc>
      </w:tr>
      <w:tr w:rsidR="00FA6DE4" w14:paraId="619FBFDE" w14:textId="77777777">
        <w:trPr>
          <w:trHeight w:hRule="exact" w:val="220"/>
        </w:trPr>
        <w:tc>
          <w:tcPr>
            <w:tcW w:w="2900" w:type="dxa"/>
            <w:tcMar>
              <w:left w:w="0" w:type="dxa"/>
              <w:right w:w="0" w:type="dxa"/>
            </w:tcMar>
          </w:tcPr>
          <w:p w14:paraId="164BA200"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$30,000-$39,999</w:t>
            </w:r>
          </w:p>
        </w:tc>
        <w:tc>
          <w:tcPr>
            <w:tcW w:w="1060" w:type="dxa"/>
            <w:tcMar>
              <w:left w:w="0" w:type="dxa"/>
              <w:right w:w="0" w:type="dxa"/>
            </w:tcMar>
          </w:tcPr>
          <w:p w14:paraId="6E928DD9"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6 (8.5)</w:t>
            </w:r>
          </w:p>
        </w:tc>
        <w:tc>
          <w:tcPr>
            <w:tcW w:w="2523" w:type="dxa"/>
            <w:vMerge/>
          </w:tcPr>
          <w:p w14:paraId="0758B259" w14:textId="77777777" w:rsidR="00FA6DE4" w:rsidRDefault="00FA6DE4"/>
        </w:tc>
        <w:tc>
          <w:tcPr>
            <w:tcW w:w="2523" w:type="dxa"/>
            <w:vMerge/>
          </w:tcPr>
          <w:p w14:paraId="70BEC530" w14:textId="77777777" w:rsidR="00FA6DE4" w:rsidRDefault="00FA6DE4"/>
        </w:tc>
      </w:tr>
      <w:tr w:rsidR="00FA6DE4" w14:paraId="172879E8" w14:textId="77777777">
        <w:trPr>
          <w:trHeight w:hRule="exact" w:val="216"/>
        </w:trPr>
        <w:tc>
          <w:tcPr>
            <w:tcW w:w="2900" w:type="dxa"/>
            <w:tcMar>
              <w:left w:w="0" w:type="dxa"/>
              <w:right w:w="0" w:type="dxa"/>
            </w:tcMar>
          </w:tcPr>
          <w:p w14:paraId="4890842F" w14:textId="77777777" w:rsidR="00FA6DE4" w:rsidRDefault="00000000">
            <w:pPr>
              <w:autoSpaceDE w:val="0"/>
              <w:autoSpaceDN w:val="0"/>
              <w:spacing w:before="6" w:after="0" w:line="210" w:lineRule="exact"/>
              <w:ind w:left="20"/>
            </w:pPr>
            <w:r>
              <w:rPr>
                <w:rFonts w:ascii="GillSansMTPro" w:eastAsia="GillSansMTPro" w:hAnsi="GillSansMTPro"/>
                <w:color w:val="221F1F"/>
                <w:sz w:val="18"/>
              </w:rPr>
              <w:t xml:space="preserve"> $40,000-$49,999</w:t>
            </w:r>
          </w:p>
        </w:tc>
        <w:tc>
          <w:tcPr>
            <w:tcW w:w="1060" w:type="dxa"/>
            <w:tcMar>
              <w:left w:w="0" w:type="dxa"/>
              <w:right w:w="0" w:type="dxa"/>
            </w:tcMar>
          </w:tcPr>
          <w:p w14:paraId="6B2BE56D" w14:textId="77777777" w:rsidR="00FA6DE4" w:rsidRDefault="00000000">
            <w:pPr>
              <w:autoSpaceDE w:val="0"/>
              <w:autoSpaceDN w:val="0"/>
              <w:spacing w:before="6" w:after="0" w:line="210" w:lineRule="exact"/>
              <w:jc w:val="center"/>
            </w:pPr>
            <w:r>
              <w:rPr>
                <w:rFonts w:ascii="GillSansMTPro" w:eastAsia="GillSansMTPro" w:hAnsi="GillSansMTPro"/>
                <w:color w:val="221F1F"/>
                <w:sz w:val="18"/>
              </w:rPr>
              <w:t>5 (7.0)</w:t>
            </w:r>
          </w:p>
        </w:tc>
        <w:tc>
          <w:tcPr>
            <w:tcW w:w="2523" w:type="dxa"/>
            <w:vMerge/>
          </w:tcPr>
          <w:p w14:paraId="0E0D6516" w14:textId="77777777" w:rsidR="00FA6DE4" w:rsidRDefault="00FA6DE4"/>
        </w:tc>
        <w:tc>
          <w:tcPr>
            <w:tcW w:w="5080" w:type="dxa"/>
            <w:tcMar>
              <w:left w:w="0" w:type="dxa"/>
              <w:right w:w="0" w:type="dxa"/>
            </w:tcMar>
          </w:tcPr>
          <w:p w14:paraId="32EBB26B" w14:textId="77777777" w:rsidR="00FA6DE4" w:rsidRDefault="00000000">
            <w:pPr>
              <w:autoSpaceDE w:val="0"/>
              <w:autoSpaceDN w:val="0"/>
              <w:spacing w:after="0" w:line="222" w:lineRule="exact"/>
              <w:ind w:left="190"/>
            </w:pPr>
            <w:r>
              <w:rPr>
                <w:rFonts w:ascii="TimesNewRomanPSMT" w:eastAsia="TimesNewRomanPSMT" w:hAnsi="TimesNewRomanPSMT"/>
                <w:color w:val="221F1F"/>
                <w:sz w:val="20"/>
              </w:rPr>
              <w:t xml:space="preserve">staff make calls or send texts or email messages (Yancey </w:t>
            </w:r>
          </w:p>
        </w:tc>
      </w:tr>
      <w:tr w:rsidR="00FA6DE4" w14:paraId="72AC47FA" w14:textId="77777777">
        <w:trPr>
          <w:trHeight w:hRule="exact" w:val="220"/>
        </w:trPr>
        <w:tc>
          <w:tcPr>
            <w:tcW w:w="2900" w:type="dxa"/>
            <w:tcMar>
              <w:left w:w="0" w:type="dxa"/>
              <w:right w:w="0" w:type="dxa"/>
            </w:tcMar>
          </w:tcPr>
          <w:p w14:paraId="06D97441" w14:textId="77777777" w:rsidR="00FA6DE4" w:rsidRDefault="00000000">
            <w:pPr>
              <w:autoSpaceDE w:val="0"/>
              <w:autoSpaceDN w:val="0"/>
              <w:spacing w:before="10" w:after="0" w:line="210" w:lineRule="exact"/>
              <w:ind w:left="20"/>
            </w:pPr>
            <w:r>
              <w:rPr>
                <w:rFonts w:ascii="GillSansMTPro" w:eastAsia="GillSansMTPro" w:hAnsi="GillSansMTPro"/>
                <w:color w:val="221F1F"/>
                <w:sz w:val="18"/>
              </w:rPr>
              <w:t xml:space="preserve"> $50,000-$59,999</w:t>
            </w:r>
          </w:p>
        </w:tc>
        <w:tc>
          <w:tcPr>
            <w:tcW w:w="1060" w:type="dxa"/>
            <w:tcMar>
              <w:left w:w="0" w:type="dxa"/>
              <w:right w:w="0" w:type="dxa"/>
            </w:tcMar>
          </w:tcPr>
          <w:p w14:paraId="5F4D9337" w14:textId="77777777" w:rsidR="00FA6DE4" w:rsidRDefault="00000000">
            <w:pPr>
              <w:autoSpaceDE w:val="0"/>
              <w:autoSpaceDN w:val="0"/>
              <w:spacing w:before="10" w:after="0" w:line="210" w:lineRule="exact"/>
              <w:jc w:val="center"/>
            </w:pPr>
            <w:r>
              <w:rPr>
                <w:rFonts w:ascii="GillSansMTPro" w:eastAsia="GillSansMTPro" w:hAnsi="GillSansMTPro"/>
                <w:color w:val="221F1F"/>
                <w:sz w:val="18"/>
              </w:rPr>
              <w:t>2 (2.8)</w:t>
            </w:r>
          </w:p>
        </w:tc>
        <w:tc>
          <w:tcPr>
            <w:tcW w:w="2523" w:type="dxa"/>
            <w:vMerge/>
          </w:tcPr>
          <w:p w14:paraId="3E158843" w14:textId="77777777" w:rsidR="00FA6DE4" w:rsidRDefault="00FA6DE4"/>
        </w:tc>
        <w:tc>
          <w:tcPr>
            <w:tcW w:w="5080" w:type="dxa"/>
            <w:tcMar>
              <w:left w:w="0" w:type="dxa"/>
              <w:right w:w="0" w:type="dxa"/>
            </w:tcMar>
          </w:tcPr>
          <w:p w14:paraId="5B193FAA" w14:textId="77777777" w:rsidR="00FA6DE4" w:rsidRDefault="00000000">
            <w:pPr>
              <w:autoSpaceDE w:val="0"/>
              <w:autoSpaceDN w:val="0"/>
              <w:spacing w:after="0" w:line="222" w:lineRule="exact"/>
              <w:ind w:left="190"/>
            </w:pPr>
            <w:r>
              <w:rPr>
                <w:rFonts w:ascii="TimesNewRomanPSMT" w:eastAsia="TimesNewRomanPSMT" w:hAnsi="TimesNewRomanPSMT"/>
                <w:color w:val="221F1F"/>
                <w:sz w:val="20"/>
              </w:rPr>
              <w:t xml:space="preserve">et al., 2006) to remind parents about upcoming meetings </w:t>
            </w:r>
          </w:p>
        </w:tc>
      </w:tr>
      <w:tr w:rsidR="00FA6DE4" w14:paraId="17261F5A" w14:textId="77777777">
        <w:trPr>
          <w:trHeight w:hRule="exact" w:val="240"/>
        </w:trPr>
        <w:tc>
          <w:tcPr>
            <w:tcW w:w="2900" w:type="dxa"/>
            <w:tcMar>
              <w:left w:w="0" w:type="dxa"/>
              <w:right w:w="0" w:type="dxa"/>
            </w:tcMar>
          </w:tcPr>
          <w:p w14:paraId="56523F40" w14:textId="77777777" w:rsidR="00FA6DE4" w:rsidRDefault="00000000">
            <w:pPr>
              <w:autoSpaceDE w:val="0"/>
              <w:autoSpaceDN w:val="0"/>
              <w:spacing w:before="30" w:after="0" w:line="210" w:lineRule="exact"/>
              <w:ind w:left="20"/>
            </w:pPr>
            <w:r>
              <w:rPr>
                <w:rFonts w:ascii="GillSansMTPro" w:eastAsia="GillSansMTPro" w:hAnsi="GillSansMTPro"/>
                <w:color w:val="221F1F"/>
                <w:sz w:val="18"/>
              </w:rPr>
              <w:t xml:space="preserve"> $60,000-$69,999</w:t>
            </w:r>
          </w:p>
        </w:tc>
        <w:tc>
          <w:tcPr>
            <w:tcW w:w="1060" w:type="dxa"/>
            <w:tcMar>
              <w:left w:w="0" w:type="dxa"/>
              <w:right w:w="0" w:type="dxa"/>
            </w:tcMar>
          </w:tcPr>
          <w:p w14:paraId="2C5156CA" w14:textId="77777777" w:rsidR="00FA6DE4" w:rsidRDefault="00000000">
            <w:pPr>
              <w:autoSpaceDE w:val="0"/>
              <w:autoSpaceDN w:val="0"/>
              <w:spacing w:before="30" w:after="0" w:line="210" w:lineRule="exact"/>
              <w:jc w:val="center"/>
            </w:pPr>
            <w:r>
              <w:rPr>
                <w:rFonts w:ascii="GillSansMTPro" w:eastAsia="GillSansMTPro" w:hAnsi="GillSansMTPro"/>
                <w:color w:val="221F1F"/>
                <w:sz w:val="18"/>
              </w:rPr>
              <w:t>4 (5.6)</w:t>
            </w:r>
          </w:p>
        </w:tc>
        <w:tc>
          <w:tcPr>
            <w:tcW w:w="2523" w:type="dxa"/>
            <w:vMerge/>
          </w:tcPr>
          <w:p w14:paraId="477B435F" w14:textId="77777777" w:rsidR="00FA6DE4" w:rsidRDefault="00FA6DE4"/>
        </w:tc>
        <w:tc>
          <w:tcPr>
            <w:tcW w:w="5080" w:type="dxa"/>
            <w:tcMar>
              <w:left w:w="0" w:type="dxa"/>
              <w:right w:w="0" w:type="dxa"/>
            </w:tcMar>
          </w:tcPr>
          <w:p w14:paraId="5ED471FF" w14:textId="77777777" w:rsidR="00FA6DE4" w:rsidRDefault="00000000">
            <w:pPr>
              <w:autoSpaceDE w:val="0"/>
              <w:autoSpaceDN w:val="0"/>
              <w:spacing w:before="18" w:after="0" w:line="222" w:lineRule="exact"/>
              <w:ind w:left="190"/>
            </w:pPr>
            <w:r>
              <w:rPr>
                <w:rFonts w:ascii="TimesNewRomanPSMT" w:eastAsia="TimesNewRomanPSMT" w:hAnsi="TimesNewRomanPSMT"/>
                <w:color w:val="221F1F"/>
                <w:sz w:val="20"/>
              </w:rPr>
              <w:t xml:space="preserve">(i.e., the second data collection interview) was found not </w:t>
            </w:r>
          </w:p>
        </w:tc>
      </w:tr>
      <w:tr w:rsidR="00FA6DE4" w14:paraId="5E335F9C" w14:textId="77777777">
        <w:trPr>
          <w:trHeight w:hRule="exact" w:val="222"/>
        </w:trPr>
        <w:tc>
          <w:tcPr>
            <w:tcW w:w="2900" w:type="dxa"/>
            <w:tcMar>
              <w:left w:w="0" w:type="dxa"/>
              <w:right w:w="0" w:type="dxa"/>
            </w:tcMar>
          </w:tcPr>
          <w:p w14:paraId="2C8D7FC3" w14:textId="77777777" w:rsidR="00FA6DE4" w:rsidRDefault="00000000">
            <w:pPr>
              <w:autoSpaceDE w:val="0"/>
              <w:autoSpaceDN w:val="0"/>
              <w:spacing w:before="26" w:after="0" w:line="210" w:lineRule="exact"/>
              <w:ind w:left="20"/>
            </w:pPr>
            <w:r>
              <w:rPr>
                <w:rFonts w:ascii="GillSansMTPro" w:eastAsia="GillSansMTPro" w:hAnsi="GillSansMTPro"/>
                <w:color w:val="221F1F"/>
                <w:sz w:val="18"/>
              </w:rPr>
              <w:t xml:space="preserve"> More than $70,000</w:t>
            </w:r>
          </w:p>
        </w:tc>
        <w:tc>
          <w:tcPr>
            <w:tcW w:w="1060" w:type="dxa"/>
            <w:tcMar>
              <w:left w:w="0" w:type="dxa"/>
              <w:right w:w="0" w:type="dxa"/>
            </w:tcMar>
          </w:tcPr>
          <w:p w14:paraId="4B6B1AEE" w14:textId="77777777" w:rsidR="00FA6DE4" w:rsidRDefault="00000000">
            <w:pPr>
              <w:autoSpaceDE w:val="0"/>
              <w:autoSpaceDN w:val="0"/>
              <w:spacing w:before="26" w:after="0" w:line="210" w:lineRule="exact"/>
              <w:jc w:val="center"/>
            </w:pPr>
            <w:r>
              <w:rPr>
                <w:rFonts w:ascii="GillSansMTPro" w:eastAsia="GillSansMTPro" w:hAnsi="GillSansMTPro"/>
                <w:color w:val="221F1F"/>
                <w:sz w:val="18"/>
              </w:rPr>
              <w:t>24 (33.9)</w:t>
            </w:r>
          </w:p>
        </w:tc>
        <w:tc>
          <w:tcPr>
            <w:tcW w:w="2523" w:type="dxa"/>
            <w:vMerge/>
          </w:tcPr>
          <w:p w14:paraId="66F4F40D" w14:textId="77777777" w:rsidR="00FA6DE4" w:rsidRDefault="00FA6DE4"/>
        </w:tc>
        <w:tc>
          <w:tcPr>
            <w:tcW w:w="5080" w:type="dxa"/>
            <w:tcMar>
              <w:left w:w="0" w:type="dxa"/>
              <w:right w:w="0" w:type="dxa"/>
            </w:tcMar>
          </w:tcPr>
          <w:p w14:paraId="5E437D86" w14:textId="77777777" w:rsidR="00FA6DE4" w:rsidRDefault="00000000">
            <w:pPr>
              <w:autoSpaceDE w:val="0"/>
              <w:autoSpaceDN w:val="0"/>
              <w:spacing w:before="20" w:after="0" w:line="222" w:lineRule="exact"/>
              <w:ind w:left="190"/>
            </w:pPr>
            <w:r>
              <w:rPr>
                <w:rFonts w:ascii="TimesNewRomanPSMT" w:eastAsia="TimesNewRomanPSMT" w:hAnsi="TimesNewRomanPSMT"/>
                <w:color w:val="221F1F"/>
                <w:sz w:val="20"/>
              </w:rPr>
              <w:t xml:space="preserve">only to increase retention but also to build relationships </w:t>
            </w:r>
          </w:p>
        </w:tc>
      </w:tr>
    </w:tbl>
    <w:p w14:paraId="73E7CD05" w14:textId="77777777" w:rsidR="00FA6DE4" w:rsidRDefault="00FA6DE4">
      <w:pPr>
        <w:autoSpaceDE w:val="0"/>
        <w:autoSpaceDN w:val="0"/>
        <w:spacing w:after="66" w:line="14" w:lineRule="exact"/>
      </w:pPr>
    </w:p>
    <w:p w14:paraId="1EB1217E" w14:textId="77777777" w:rsidR="00FA6DE4" w:rsidRDefault="00FA6DE4">
      <w:pPr>
        <w:sectPr w:rsidR="00FA6DE4">
          <w:type w:val="continuous"/>
          <w:pgSz w:w="12240" w:h="15840"/>
          <w:pgMar w:top="396" w:right="890" w:bottom="630" w:left="1256" w:header="720" w:footer="720" w:gutter="0"/>
          <w:cols w:space="720" w:equalWidth="0">
            <w:col w:w="10094" w:space="0"/>
          </w:cols>
          <w:docGrid w:linePitch="360"/>
        </w:sectPr>
      </w:pPr>
    </w:p>
    <w:p w14:paraId="0C5EAF2D" w14:textId="77777777" w:rsidR="00FA6DE4" w:rsidRDefault="00000000">
      <w:pPr>
        <w:autoSpaceDE w:val="0"/>
        <w:autoSpaceDN w:val="0"/>
        <w:spacing w:before="404" w:after="0" w:line="240" w:lineRule="exact"/>
        <w:ind w:left="4" w:right="144"/>
      </w:pPr>
      <w:r>
        <w:rPr>
          <w:rFonts w:ascii="TimesNewRomanPSMT" w:eastAsia="TimesNewRomanPSMT" w:hAnsi="TimesNewRomanPSMT"/>
          <w:color w:val="221F1F"/>
          <w:sz w:val="20"/>
        </w:rPr>
        <w:t>by making referrals and inviting friends, relatives, or neigh-bors to participate, further increasing enrollment. Successful recruitment strategies executed in current study were shown to have the same effectiveness in a later intervention pilot study. Sixteen participants were needed for this pilot study, and recruitment was completed successfully within 2 weeks with more potential participants added to the waiting list.</w:t>
      </w:r>
    </w:p>
    <w:p w14:paraId="27730101" w14:textId="77777777" w:rsidR="00FA6DE4" w:rsidRDefault="00000000">
      <w:pPr>
        <w:autoSpaceDE w:val="0"/>
        <w:autoSpaceDN w:val="0"/>
        <w:spacing w:after="0" w:line="240" w:lineRule="exact"/>
        <w:ind w:left="4" w:right="144" w:firstLine="240"/>
      </w:pPr>
      <w:r>
        <w:rPr>
          <w:rFonts w:ascii="TimesNewRomanPSMT" w:eastAsia="TimesNewRomanPSMT" w:hAnsi="TimesNewRomanPSMT"/>
          <w:color w:val="221F1F"/>
          <w:sz w:val="20"/>
        </w:rPr>
        <w:t>Lower participation by culturally and linguistically diverse participants may be due to language barriers (Smith et al., 2018). As described previously, the majority of enrolled stu-dents in this school district are from racial and ethnic minority families (Ohio Department of Education, 2018). Furthermore, according to the U.S. Census Bureau (n.d.), Hispanic or Latino students constitute the largest non-White population in this school district. Literature has shown that having bilingual or bicultural personnel accessible to study participants is an important strategy for recruitment and retention of minority populations (Aguirre et al., 2018; Otado et al., 2015; Reidy et al., 2012; Talavera et al., 2016). For the current project, all study materials, such as recruitment and study information as well as consent documents, used culturally sensitive lan-guage. In addition to the bilingual coordinator from the school district, an interpreter was assigned to participate at the school’s event (i.e., resource fair) to bridge communication barriers regarding this research study.</w:t>
      </w:r>
    </w:p>
    <w:p w14:paraId="01FA4AED" w14:textId="77777777" w:rsidR="00FA6DE4" w:rsidRDefault="00000000">
      <w:pPr>
        <w:autoSpaceDE w:val="0"/>
        <w:autoSpaceDN w:val="0"/>
        <w:spacing w:after="0" w:line="240" w:lineRule="exact"/>
        <w:ind w:left="4" w:right="156" w:firstLine="240"/>
        <w:jc w:val="both"/>
      </w:pPr>
      <w:r>
        <w:rPr>
          <w:rFonts w:ascii="TimesNewRomanPSMT" w:eastAsia="TimesNewRomanPSMT" w:hAnsi="TimesNewRomanPSMT"/>
          <w:color w:val="221F1F"/>
          <w:sz w:val="20"/>
        </w:rPr>
        <w:t xml:space="preserve">Consistent with previous studies, especially studies with low-income families (Cui et al., 2015; Nicholson et al., 2011; Pescud et al., 2015; Schoeppe et al., 2014; Wallace &amp; </w:t>
      </w:r>
    </w:p>
    <w:p w14:paraId="7A19051D" w14:textId="77777777" w:rsidR="00FA6DE4" w:rsidRDefault="00FA6DE4">
      <w:pPr>
        <w:sectPr w:rsidR="00FA6DE4">
          <w:type w:val="continuous"/>
          <w:pgSz w:w="12240" w:h="15840"/>
          <w:pgMar w:top="396" w:right="890" w:bottom="630" w:left="1256" w:header="720" w:footer="720" w:gutter="0"/>
          <w:cols w:num="2" w:space="720" w:equalWidth="0">
            <w:col w:w="5040" w:space="0"/>
            <w:col w:w="5054" w:space="0"/>
          </w:cols>
          <w:docGrid w:linePitch="360"/>
        </w:sectPr>
      </w:pPr>
    </w:p>
    <w:p w14:paraId="2CE63162" w14:textId="77777777" w:rsidR="00FA6DE4" w:rsidRDefault="00000000">
      <w:pPr>
        <w:autoSpaceDE w:val="0"/>
        <w:autoSpaceDN w:val="0"/>
        <w:spacing w:after="0" w:line="222" w:lineRule="exact"/>
        <w:ind w:left="154"/>
      </w:pPr>
      <w:r>
        <w:rPr>
          <w:rFonts w:ascii="TimesNewRomanPSMT" w:eastAsia="TimesNewRomanPSMT" w:hAnsi="TimesNewRomanPSMT"/>
          <w:color w:val="221F1F"/>
          <w:sz w:val="20"/>
        </w:rPr>
        <w:t>between participants and researchers.</w:t>
      </w:r>
    </w:p>
    <w:p w14:paraId="16015326" w14:textId="77777777" w:rsidR="00FA6DE4" w:rsidRDefault="00000000">
      <w:pPr>
        <w:autoSpaceDE w:val="0"/>
        <w:autoSpaceDN w:val="0"/>
        <w:spacing w:after="0" w:line="240" w:lineRule="exact"/>
        <w:ind w:left="154" w:firstLine="240"/>
      </w:pPr>
      <w:r>
        <w:rPr>
          <w:rFonts w:ascii="TimesNewRomanPSMT" w:eastAsia="TimesNewRomanPSMT" w:hAnsi="TimesNewRomanPSMT"/>
          <w:color w:val="221F1F"/>
          <w:sz w:val="20"/>
        </w:rPr>
        <w:t>Many scholars have suggested that matching race and eth-nicity between researchers and potential participants serves as an effective recruitment strategy (Diaz, 2012; Otado et al., 2015; Yancey et al., 2006; Zamora et al., 2016). This strat-egy, however, did not seem to make an obvious difference for this study. Researchers for this study are primarily Asian. Some Hispanic or Latino participants or participants’ parents did inquire if research staff were from outside of the United States and seemed comfortable sharing their immigration stories. Although matching ethnicity and race between researchers and potential participants did not occur in this study, social status, such as immigration status, seemed to be a key to connect the two parties.</w:t>
      </w:r>
    </w:p>
    <w:p w14:paraId="4BDF846A" w14:textId="77777777" w:rsidR="00FA6DE4" w:rsidRDefault="00000000">
      <w:pPr>
        <w:autoSpaceDE w:val="0"/>
        <w:autoSpaceDN w:val="0"/>
        <w:spacing w:after="0" w:line="240" w:lineRule="exact"/>
        <w:ind w:left="154" w:firstLine="240"/>
      </w:pPr>
      <w:r>
        <w:rPr>
          <w:rFonts w:ascii="TimesNewRomanPSMT" w:eastAsia="TimesNewRomanPSMT" w:hAnsi="TimesNewRomanPSMT"/>
          <w:color w:val="221F1F"/>
          <w:sz w:val="20"/>
        </w:rPr>
        <w:t xml:space="preserve">Researchers discovered that most participants lacked a home computer. As described previously, low SES is noted as one of the barriers to recruitment and retention (Cui et al., 2015; Nicholson et al., 2011; Pescud et al., 2015; Schoeppe et al., 2014; Wallace &amp; Bartlett, 2013). Surprisingly, technol-ogy, such as smartphones, may be particularly advantageous and have the potential to address this issue (Sugie, 2018; Swindle et al., 2014). A recent Pew Research Center (2019) survey showed that 96% of adults with household incomes below $30,000 had cell phones of which 81% were smart-phones. Only 54% of lower-income U.S. adults (earning less than $30,000 a year) are desktop or laptop computer owners (Anderson &amp; Kumar, 2019). Furthermore, more than 80% Whites reported owning a desktop or laptop computer com-pared with about 60% of Blacks or Hispanics (Anderson &amp; Kumar, 2019). Young adults, non-Whites, and economically </w:t>
      </w:r>
    </w:p>
    <w:p w14:paraId="58E7A568" w14:textId="77777777" w:rsidR="00FA6DE4" w:rsidRDefault="00FA6DE4">
      <w:pPr>
        <w:sectPr w:rsidR="00FA6DE4">
          <w:type w:val="nextColumn"/>
          <w:pgSz w:w="12240" w:h="15840"/>
          <w:pgMar w:top="396" w:right="890" w:bottom="630" w:left="1256" w:header="720" w:footer="720" w:gutter="0"/>
          <w:cols w:num="2" w:space="720" w:equalWidth="0">
            <w:col w:w="5040" w:space="0"/>
            <w:col w:w="5054" w:space="0"/>
          </w:cols>
          <w:docGrid w:linePitch="360"/>
        </w:sectPr>
      </w:pPr>
    </w:p>
    <w:p w14:paraId="49C16AE3" w14:textId="77777777" w:rsidR="00FA6DE4" w:rsidRDefault="00FA6DE4">
      <w:pPr>
        <w:autoSpaceDE w:val="0"/>
        <w:autoSpaceDN w:val="0"/>
        <w:spacing w:after="174" w:line="220" w:lineRule="exact"/>
      </w:pPr>
    </w:p>
    <w:tbl>
      <w:tblPr>
        <w:tblW w:w="0" w:type="auto"/>
        <w:tblLayout w:type="fixed"/>
        <w:tblLook w:val="04A0" w:firstRow="1" w:lastRow="0" w:firstColumn="1" w:lastColumn="0" w:noHBand="0" w:noVBand="1"/>
      </w:tblPr>
      <w:tblGrid>
        <w:gridCol w:w="3622"/>
        <w:gridCol w:w="6402"/>
      </w:tblGrid>
      <w:tr w:rsidR="00FA6DE4" w14:paraId="3554427C" w14:textId="77777777">
        <w:trPr>
          <w:trHeight w:hRule="exact" w:val="254"/>
        </w:trPr>
        <w:tc>
          <w:tcPr>
            <w:tcW w:w="3622" w:type="dxa"/>
            <w:tcBorders>
              <w:bottom w:val="single" w:sz="2" w:space="0" w:color="221F1F"/>
            </w:tcBorders>
            <w:tcMar>
              <w:left w:w="0" w:type="dxa"/>
              <w:right w:w="0" w:type="dxa"/>
            </w:tcMar>
          </w:tcPr>
          <w:p w14:paraId="1C2E53B8" w14:textId="77777777" w:rsidR="00FA6DE4" w:rsidRDefault="00000000">
            <w:pPr>
              <w:autoSpaceDE w:val="0"/>
              <w:autoSpaceDN w:val="0"/>
              <w:spacing w:after="0" w:line="234" w:lineRule="exact"/>
              <w:ind w:left="2"/>
            </w:pPr>
            <w:r>
              <w:rPr>
                <w:rFonts w:ascii="GillSansMTPro" w:eastAsia="GillSansMTPro" w:hAnsi="GillSansMTPro"/>
                <w:color w:val="221F1F"/>
                <w:sz w:val="20"/>
              </w:rPr>
              <w:t>6</w:t>
            </w:r>
          </w:p>
        </w:tc>
        <w:tc>
          <w:tcPr>
            <w:tcW w:w="6402" w:type="dxa"/>
            <w:tcBorders>
              <w:bottom w:val="single" w:sz="2" w:space="0" w:color="221F1F"/>
            </w:tcBorders>
            <w:tcMar>
              <w:left w:w="0" w:type="dxa"/>
              <w:right w:w="0" w:type="dxa"/>
            </w:tcMar>
          </w:tcPr>
          <w:p w14:paraId="384E77BC" w14:textId="77777777" w:rsidR="00FA6DE4" w:rsidRDefault="00000000">
            <w:pPr>
              <w:autoSpaceDE w:val="0"/>
              <w:autoSpaceDN w:val="0"/>
              <w:spacing w:after="0" w:line="232" w:lineRule="exact"/>
              <w:ind w:right="2"/>
              <w:jc w:val="right"/>
            </w:pPr>
            <w:r>
              <w:rPr>
                <w:rFonts w:ascii="GillSansMTPro" w:eastAsia="GillSansMTPro" w:hAnsi="GillSansMTPro"/>
                <w:i/>
                <w:color w:val="221F1F"/>
                <w:sz w:val="20"/>
              </w:rPr>
              <w:t>Journal of Transcultural Nursing 00(0)</w:t>
            </w:r>
          </w:p>
        </w:tc>
      </w:tr>
    </w:tbl>
    <w:p w14:paraId="7C876B0E" w14:textId="77777777" w:rsidR="00FA6DE4" w:rsidRDefault="00FA6DE4">
      <w:pPr>
        <w:autoSpaceDE w:val="0"/>
        <w:autoSpaceDN w:val="0"/>
        <w:spacing w:after="334" w:line="14" w:lineRule="exact"/>
      </w:pPr>
    </w:p>
    <w:p w14:paraId="7222FA62" w14:textId="77777777" w:rsidR="00FA6DE4" w:rsidRDefault="00FA6DE4">
      <w:pPr>
        <w:sectPr w:rsidR="00FA6DE4">
          <w:pgSz w:w="12240" w:h="15840"/>
          <w:pgMar w:top="396" w:right="1194" w:bottom="630" w:left="958" w:header="720" w:footer="720" w:gutter="0"/>
          <w:cols w:space="720" w:equalWidth="0">
            <w:col w:w="10088" w:space="0"/>
          </w:cols>
          <w:docGrid w:linePitch="360"/>
        </w:sectPr>
      </w:pPr>
    </w:p>
    <w:p w14:paraId="42EC7D02" w14:textId="77777777" w:rsidR="00FA6DE4" w:rsidRDefault="00000000">
      <w:pPr>
        <w:autoSpaceDE w:val="0"/>
        <w:autoSpaceDN w:val="0"/>
        <w:spacing w:after="0" w:line="236" w:lineRule="exact"/>
        <w:ind w:left="2" w:right="156"/>
        <w:jc w:val="both"/>
      </w:pPr>
      <w:r>
        <w:rPr>
          <w:rFonts w:ascii="TimesNewRomanPSMT" w:eastAsia="TimesNewRomanPSMT" w:hAnsi="TimesNewRomanPSMT"/>
          <w:color w:val="221F1F"/>
          <w:sz w:val="20"/>
        </w:rPr>
        <w:t xml:space="preserve">disadvantaged groups such as Blacks and Hispanics were similar to Whites in their reliance on smartphones for online access, although smartphone ownership was similar across major ethnic and racial groups (Perrin &amp; Turner, 2019). Despite the fact that computer ownership was low in this </w:t>
      </w:r>
    </w:p>
    <w:p w14:paraId="058495DD" w14:textId="77777777" w:rsidR="00FA6DE4" w:rsidRDefault="00FA6DE4">
      <w:pPr>
        <w:sectPr w:rsidR="00FA6DE4">
          <w:type w:val="continuous"/>
          <w:pgSz w:w="12240" w:h="15840"/>
          <w:pgMar w:top="396" w:right="1194" w:bottom="630" w:left="958" w:header="720" w:footer="720" w:gutter="0"/>
          <w:cols w:num="2" w:space="720" w:equalWidth="0">
            <w:col w:w="5038" w:space="0"/>
            <w:col w:w="5049" w:space="0"/>
          </w:cols>
          <w:docGrid w:linePitch="360"/>
        </w:sectPr>
      </w:pPr>
    </w:p>
    <w:p w14:paraId="4A75F47C" w14:textId="77777777" w:rsidR="00FA6DE4" w:rsidRDefault="00000000">
      <w:pPr>
        <w:autoSpaceDE w:val="0"/>
        <w:autoSpaceDN w:val="0"/>
        <w:spacing w:after="0" w:line="240" w:lineRule="exact"/>
        <w:ind w:left="154"/>
      </w:pPr>
      <w:r>
        <w:rPr>
          <w:rFonts w:ascii="GillSansMTPro" w:eastAsia="GillSansMTPro" w:hAnsi="GillSansMTPro"/>
          <w:b/>
          <w:color w:val="221F1F"/>
          <w:sz w:val="20"/>
        </w:rPr>
        <w:t>Declaration of Conflicting Interests</w:t>
      </w:r>
    </w:p>
    <w:p w14:paraId="2A31118A" w14:textId="77777777" w:rsidR="00FA6DE4" w:rsidRDefault="00000000">
      <w:pPr>
        <w:autoSpaceDE w:val="0"/>
        <w:autoSpaceDN w:val="0"/>
        <w:spacing w:before="72" w:after="228" w:line="220" w:lineRule="exact"/>
        <w:ind w:left="154" w:right="20"/>
        <w:jc w:val="both"/>
      </w:pPr>
      <w:r>
        <w:rPr>
          <w:rFonts w:ascii="TimesNewRomanPSMT" w:eastAsia="TimesNewRomanPSMT" w:hAnsi="TimesNewRomanPSMT"/>
          <w:color w:val="221F1F"/>
          <w:sz w:val="18"/>
        </w:rPr>
        <w:t>The author(s) declared no potential conflicts of interest with respect to the research, authorship, and/or publication of this article.</w:t>
      </w:r>
    </w:p>
    <w:p w14:paraId="377AA277" w14:textId="77777777" w:rsidR="00FA6DE4" w:rsidRDefault="00FA6DE4">
      <w:pPr>
        <w:sectPr w:rsidR="00FA6DE4">
          <w:type w:val="nextColumn"/>
          <w:pgSz w:w="12240" w:h="15840"/>
          <w:pgMar w:top="396" w:right="1194" w:bottom="630" w:left="958" w:header="720" w:footer="720" w:gutter="0"/>
          <w:cols w:num="2" w:space="720" w:equalWidth="0">
            <w:col w:w="5038" w:space="0"/>
            <w:col w:w="5049" w:space="0"/>
          </w:cols>
          <w:docGrid w:linePitch="360"/>
        </w:sectPr>
      </w:pPr>
    </w:p>
    <w:p w14:paraId="76B78612" w14:textId="77777777" w:rsidR="00FA6DE4" w:rsidRDefault="00000000">
      <w:pPr>
        <w:tabs>
          <w:tab w:val="left" w:pos="5192"/>
        </w:tabs>
        <w:autoSpaceDE w:val="0"/>
        <w:autoSpaceDN w:val="0"/>
        <w:spacing w:after="16" w:line="222" w:lineRule="exact"/>
        <w:ind w:left="2"/>
      </w:pPr>
      <w:r>
        <w:rPr>
          <w:rFonts w:ascii="TimesNewRomanPSMT" w:eastAsia="TimesNewRomanPSMT" w:hAnsi="TimesNewRomanPSMT"/>
          <w:color w:val="221F1F"/>
          <w:sz w:val="20"/>
        </w:rPr>
        <w:t xml:space="preserve">study population, most participants were found to have </w:t>
      </w:r>
      <w:r>
        <w:tab/>
      </w:r>
      <w:r>
        <w:rPr>
          <w:rFonts w:ascii="GillSansMTPro" w:eastAsia="GillSansMTPro" w:hAnsi="GillSansMTPro"/>
          <w:b/>
          <w:color w:val="221F1F"/>
          <w:sz w:val="20"/>
        </w:rPr>
        <w:t>Funding</w:t>
      </w:r>
    </w:p>
    <w:p w14:paraId="799F4E61" w14:textId="77777777" w:rsidR="00FA6DE4" w:rsidRDefault="00FA6DE4">
      <w:pPr>
        <w:sectPr w:rsidR="00FA6DE4">
          <w:type w:val="continuous"/>
          <w:pgSz w:w="12240" w:h="15840"/>
          <w:pgMar w:top="396" w:right="1194" w:bottom="630" w:left="958" w:header="720" w:footer="720" w:gutter="0"/>
          <w:cols w:space="720" w:equalWidth="0">
            <w:col w:w="10088" w:space="0"/>
          </w:cols>
          <w:docGrid w:linePitch="360"/>
        </w:sectPr>
      </w:pPr>
    </w:p>
    <w:p w14:paraId="6F8EEA87" w14:textId="77777777" w:rsidR="00FA6DE4" w:rsidRDefault="00000000">
      <w:pPr>
        <w:autoSpaceDE w:val="0"/>
        <w:autoSpaceDN w:val="0"/>
        <w:spacing w:after="0" w:line="236" w:lineRule="exact"/>
        <w:ind w:right="144"/>
        <w:jc w:val="center"/>
      </w:pPr>
      <w:r>
        <w:rPr>
          <w:rFonts w:ascii="TimesNewRomanPSMT" w:eastAsia="TimesNewRomanPSMT" w:hAnsi="TimesNewRomanPSMT"/>
          <w:color w:val="221F1F"/>
          <w:sz w:val="20"/>
        </w:rPr>
        <w:t>smartphones with internet access. Hence, considering poten-tial participants’ characteristics and their access to technol-ogy, incorporating a QR code in recruitment materials may serve as a cost-effective tool (Gu et al., 2016). Through an internet connection, a QR code allows users to be linked directly and instantaneously via the smartphone to a prede-</w:t>
      </w:r>
    </w:p>
    <w:p w14:paraId="58C830A8" w14:textId="77777777" w:rsidR="00FA6DE4" w:rsidRDefault="00FA6DE4">
      <w:pPr>
        <w:sectPr w:rsidR="00FA6DE4">
          <w:type w:val="continuous"/>
          <w:pgSz w:w="12240" w:h="15840"/>
          <w:pgMar w:top="396" w:right="1194" w:bottom="630" w:left="958" w:header="720" w:footer="720" w:gutter="0"/>
          <w:cols w:num="2" w:space="720" w:equalWidth="0">
            <w:col w:w="5038" w:space="0"/>
            <w:col w:w="5049" w:space="0"/>
          </w:cols>
          <w:docGrid w:linePitch="360"/>
        </w:sectPr>
      </w:pPr>
    </w:p>
    <w:p w14:paraId="12FF815D" w14:textId="77777777" w:rsidR="00FA6DE4" w:rsidRDefault="00000000">
      <w:pPr>
        <w:autoSpaceDE w:val="0"/>
        <w:autoSpaceDN w:val="0"/>
        <w:spacing w:after="64" w:line="216" w:lineRule="exact"/>
        <w:ind w:left="154" w:right="20"/>
        <w:jc w:val="both"/>
      </w:pPr>
      <w:r>
        <w:rPr>
          <w:rFonts w:ascii="TimesNewRomanPSMT" w:eastAsia="TimesNewRomanPSMT" w:hAnsi="TimesNewRomanPSMT"/>
          <w:color w:val="221F1F"/>
          <w:sz w:val="18"/>
        </w:rPr>
        <w:t>The author(s) disclosed receipt of the following financial support for the research, authorship, and/or publication of this article: The authors disclose receipt of the following financial support for the research, authorship, and/or publication of this article: This work was supported by grants from the Lake Health Foundation and College of Nursing, Kent State University.</w:t>
      </w:r>
    </w:p>
    <w:p w14:paraId="6F128893" w14:textId="77777777" w:rsidR="00FA6DE4" w:rsidRDefault="00FA6DE4">
      <w:pPr>
        <w:sectPr w:rsidR="00FA6DE4">
          <w:type w:val="nextColumn"/>
          <w:pgSz w:w="12240" w:h="15840"/>
          <w:pgMar w:top="396" w:right="1194" w:bottom="630" w:left="958" w:header="720" w:footer="720" w:gutter="0"/>
          <w:cols w:num="2" w:space="720" w:equalWidth="0">
            <w:col w:w="5038" w:space="0"/>
            <w:col w:w="5049" w:space="0"/>
          </w:cols>
          <w:docGrid w:linePitch="360"/>
        </w:sectPr>
      </w:pPr>
    </w:p>
    <w:tbl>
      <w:tblPr>
        <w:tblW w:w="0" w:type="auto"/>
        <w:tblInd w:w="-17" w:type="dxa"/>
        <w:tblLayout w:type="fixed"/>
        <w:tblLook w:val="04A0" w:firstRow="1" w:lastRow="0" w:firstColumn="1" w:lastColumn="0" w:noHBand="0" w:noVBand="1"/>
      </w:tblPr>
      <w:tblGrid>
        <w:gridCol w:w="5040"/>
        <w:gridCol w:w="3080"/>
      </w:tblGrid>
      <w:tr w:rsidR="00FA6DE4" w14:paraId="3F10BB49" w14:textId="77777777">
        <w:trPr>
          <w:trHeight w:hRule="exact" w:val="442"/>
        </w:trPr>
        <w:tc>
          <w:tcPr>
            <w:tcW w:w="5040" w:type="dxa"/>
            <w:tcMar>
              <w:left w:w="0" w:type="dxa"/>
              <w:right w:w="0" w:type="dxa"/>
            </w:tcMar>
          </w:tcPr>
          <w:p w14:paraId="350E6DA8" w14:textId="77777777" w:rsidR="00FA6DE4" w:rsidRDefault="00000000">
            <w:pPr>
              <w:autoSpaceDE w:val="0"/>
              <w:autoSpaceDN w:val="0"/>
              <w:spacing w:after="0" w:line="230" w:lineRule="exact"/>
              <w:ind w:left="20"/>
            </w:pPr>
            <w:r>
              <w:rPr>
                <w:rFonts w:ascii="TimesNewRomanPSMT" w:eastAsia="TimesNewRomanPSMT" w:hAnsi="TimesNewRomanPSMT"/>
                <w:color w:val="221F1F"/>
                <w:sz w:val="20"/>
              </w:rPr>
              <w:t xml:space="preserve">termined webpage encoded within the QR code. As opposed to the limited space available on a printed recruitment flyer, </w:t>
            </w:r>
          </w:p>
        </w:tc>
        <w:tc>
          <w:tcPr>
            <w:tcW w:w="3080" w:type="dxa"/>
            <w:tcMar>
              <w:left w:w="0" w:type="dxa"/>
              <w:right w:w="0" w:type="dxa"/>
            </w:tcMar>
          </w:tcPr>
          <w:p w14:paraId="0591A26C" w14:textId="77777777" w:rsidR="00FA6DE4" w:rsidRDefault="00000000">
            <w:pPr>
              <w:autoSpaceDE w:val="0"/>
              <w:autoSpaceDN w:val="0"/>
              <w:spacing w:before="184" w:after="0" w:line="240" w:lineRule="exact"/>
              <w:ind w:left="170"/>
            </w:pPr>
            <w:r>
              <w:rPr>
                <w:rFonts w:ascii="GillSansMTPro" w:eastAsia="GillSansMTPro" w:hAnsi="GillSansMTPro"/>
                <w:b/>
                <w:color w:val="221F1F"/>
                <w:sz w:val="20"/>
              </w:rPr>
              <w:t>ORCID iD</w:t>
            </w:r>
          </w:p>
        </w:tc>
      </w:tr>
    </w:tbl>
    <w:p w14:paraId="7FEDC63E" w14:textId="77777777" w:rsidR="00FA6DE4" w:rsidRDefault="00FA6DE4">
      <w:pPr>
        <w:autoSpaceDE w:val="0"/>
        <w:autoSpaceDN w:val="0"/>
        <w:spacing w:after="18" w:line="14" w:lineRule="exact"/>
      </w:pPr>
    </w:p>
    <w:p w14:paraId="5FDB39D9" w14:textId="77777777" w:rsidR="00FA6DE4" w:rsidRDefault="00FA6DE4">
      <w:pPr>
        <w:sectPr w:rsidR="00FA6DE4">
          <w:type w:val="continuous"/>
          <w:pgSz w:w="12240" w:h="15840"/>
          <w:pgMar w:top="396" w:right="1194" w:bottom="630" w:left="958" w:header="720" w:footer="720" w:gutter="0"/>
          <w:cols w:space="720" w:equalWidth="0">
            <w:col w:w="10088" w:space="0"/>
          </w:cols>
          <w:docGrid w:linePitch="360"/>
        </w:sectPr>
      </w:pPr>
    </w:p>
    <w:p w14:paraId="78472773" w14:textId="77777777" w:rsidR="00FA6DE4" w:rsidRDefault="00000000">
      <w:pPr>
        <w:autoSpaceDE w:val="0"/>
        <w:autoSpaceDN w:val="0"/>
        <w:spacing w:after="0" w:line="238" w:lineRule="exact"/>
        <w:ind w:left="2" w:right="144"/>
      </w:pPr>
      <w:r>
        <w:rPr>
          <w:rFonts w:ascii="TimesNewRomanPSMT" w:eastAsia="TimesNewRomanPSMT" w:hAnsi="TimesNewRomanPSMT"/>
          <w:color w:val="221F1F"/>
          <w:sz w:val="20"/>
        </w:rPr>
        <w:t>a QR code allows potential participants to access more com-prehensive and transparent information promptly; moreover, it is quick and easy for those interested in participating in the study to leave contact information. Consequently, time needed to connect potential participants and research staff could be shortened, making the communication process more efficient.</w:t>
      </w:r>
    </w:p>
    <w:p w14:paraId="5CC15D03" w14:textId="77777777" w:rsidR="00FA6DE4" w:rsidRDefault="00000000">
      <w:pPr>
        <w:autoSpaceDE w:val="0"/>
        <w:autoSpaceDN w:val="0"/>
        <w:spacing w:before="346" w:after="0" w:line="288" w:lineRule="exact"/>
        <w:ind w:left="2"/>
      </w:pPr>
      <w:r>
        <w:rPr>
          <w:rFonts w:ascii="GillSansMTPro" w:eastAsia="GillSansMTPro" w:hAnsi="GillSansMTPro"/>
          <w:b/>
          <w:color w:val="221F1F"/>
          <w:sz w:val="24"/>
        </w:rPr>
        <w:t>Conclusions</w:t>
      </w:r>
    </w:p>
    <w:p w14:paraId="011A2E36" w14:textId="77777777" w:rsidR="00FA6DE4" w:rsidRDefault="00000000">
      <w:pPr>
        <w:autoSpaceDE w:val="0"/>
        <w:autoSpaceDN w:val="0"/>
        <w:spacing w:before="106" w:after="0" w:line="240" w:lineRule="exact"/>
        <w:ind w:left="2" w:right="144"/>
      </w:pPr>
      <w:r>
        <w:rPr>
          <w:rFonts w:ascii="TimesNewRomanPSMT" w:eastAsia="TimesNewRomanPSMT" w:hAnsi="TimesNewRomanPSMT"/>
          <w:color w:val="221F1F"/>
          <w:sz w:val="20"/>
        </w:rPr>
        <w:t>This article describes challenges with and successful strate-gies for recruitment and retention of children from diverse backgrounds for a research study. Study findings revealed that minority groups, especially among Hispanic popula-tions, were recruited more successfully as a result of current participants’ referrals and a school resource fair event. Moreover, a flexible scheduling mechanism and a reminder call, text, or email worked effectively for both recruitment and retention. The experiences described herein may differ for other studies and geographic locations with different pop-ulations, limiting its generalizability. Despite these limita-tions, we believe this discussion of recruitment and retention is valuable. Future studies should consider potential barriers to participant recruitment and retention proactively, as well as how technology may aid in these processes. Continuing research on ways to address recruitment and retention for research studies, especially studies involving child popula-tions from diverse communities, would be helpful for future implementation efforts to promote the health of children and their families. It is imperative that researchers use multiple recruitment and retention strategies and adapt these strate-gies to meet the needs of the target population. Involving diverse racial and ethnic groups for research studies will help eliminate health disparities for all populations, making this goal not only promising but also attainable.</w:t>
      </w:r>
    </w:p>
    <w:p w14:paraId="646B733B" w14:textId="77777777" w:rsidR="00FA6DE4" w:rsidRDefault="00000000">
      <w:pPr>
        <w:autoSpaceDE w:val="0"/>
        <w:autoSpaceDN w:val="0"/>
        <w:spacing w:before="226" w:after="0" w:line="238" w:lineRule="exact"/>
        <w:ind w:left="2"/>
      </w:pPr>
      <w:r>
        <w:rPr>
          <w:rFonts w:ascii="GillSansMTPro" w:eastAsia="GillSansMTPro" w:hAnsi="GillSansMTPro"/>
          <w:b/>
          <w:color w:val="221F1F"/>
          <w:sz w:val="20"/>
        </w:rPr>
        <w:t>Acknowledgments</w:t>
      </w:r>
    </w:p>
    <w:p w14:paraId="09307F52" w14:textId="77777777" w:rsidR="00FA6DE4" w:rsidRDefault="00000000">
      <w:pPr>
        <w:autoSpaceDE w:val="0"/>
        <w:autoSpaceDN w:val="0"/>
        <w:spacing w:before="72" w:after="0" w:line="220" w:lineRule="exact"/>
        <w:ind w:left="2" w:right="160"/>
        <w:jc w:val="both"/>
      </w:pPr>
      <w:r>
        <w:rPr>
          <w:rFonts w:ascii="TimesNewRomanPSMT" w:eastAsia="TimesNewRomanPSMT" w:hAnsi="TimesNewRomanPSMT"/>
          <w:color w:val="221F1F"/>
          <w:sz w:val="18"/>
        </w:rPr>
        <w:t>The authors wish to extend their appreciation to the children and parents who participated in the research studies. In addition, they acknowledge the editorial assistance of Denise Karshner of Kent State University at Kent, Ohio, USA.</w:t>
      </w:r>
    </w:p>
    <w:p w14:paraId="24912669" w14:textId="77777777" w:rsidR="00FA6DE4" w:rsidRDefault="00FA6DE4">
      <w:pPr>
        <w:sectPr w:rsidR="00FA6DE4">
          <w:type w:val="continuous"/>
          <w:pgSz w:w="12240" w:h="15840"/>
          <w:pgMar w:top="396" w:right="1194" w:bottom="630" w:left="958" w:header="720" w:footer="720" w:gutter="0"/>
          <w:cols w:num="2" w:space="720" w:equalWidth="0">
            <w:col w:w="5038" w:space="0"/>
            <w:col w:w="5049" w:space="0"/>
          </w:cols>
          <w:docGrid w:linePitch="360"/>
        </w:sectPr>
      </w:pPr>
    </w:p>
    <w:p w14:paraId="6F7B57C5" w14:textId="77777777" w:rsidR="00FA6DE4" w:rsidRDefault="00000000">
      <w:pPr>
        <w:autoSpaceDE w:val="0"/>
        <w:autoSpaceDN w:val="0"/>
        <w:spacing w:after="0" w:line="240" w:lineRule="auto"/>
        <w:ind w:left="154"/>
      </w:pPr>
      <w:r>
        <w:rPr>
          <w:rFonts w:ascii="TimesNewRomanPSMT" w:eastAsia="TimesNewRomanPSMT" w:hAnsi="TimesNewRomanPSMT"/>
          <w:color w:val="221F1F"/>
          <w:sz w:val="18"/>
        </w:rPr>
        <w:t xml:space="preserve">Ya-Fen Wang </w:t>
      </w:r>
      <w:r>
        <w:rPr>
          <w:noProof/>
        </w:rPr>
        <w:drawing>
          <wp:inline distT="0" distB="0" distL="0" distR="0" wp14:anchorId="4400D3FD" wp14:editId="6ED15B63">
            <wp:extent cx="165100" cy="16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165100" cy="165100"/>
                    </a:xfrm>
                    <a:prstGeom prst="rect">
                      <a:avLst/>
                    </a:prstGeom>
                  </pic:spPr>
                </pic:pic>
              </a:graphicData>
            </a:graphic>
          </wp:inline>
        </w:drawing>
      </w:r>
      <w:r>
        <w:rPr>
          <w:rFonts w:ascii="TimesNewRomanPSMT" w:eastAsia="TimesNewRomanPSMT" w:hAnsi="TimesNewRomanPSMT"/>
          <w:color w:val="221F1F"/>
          <w:sz w:val="18"/>
        </w:rPr>
        <w:t xml:space="preserve"> </w:t>
      </w:r>
      <w:hyperlink r:id="rId22" w:history="1">
        <w:r>
          <w:rPr>
            <w:rFonts w:ascii="TimesNewRomanPSMT" w:eastAsia="TimesNewRomanPSMT" w:hAnsi="TimesNewRomanPSMT"/>
            <w:color w:val="221F1F"/>
            <w:sz w:val="18"/>
          </w:rPr>
          <w:t>https://orcid.org/0000-0001-8895-528X</w:t>
        </w:r>
      </w:hyperlink>
    </w:p>
    <w:p w14:paraId="69E3014C" w14:textId="77777777" w:rsidR="00FA6DE4" w:rsidRDefault="00000000">
      <w:pPr>
        <w:autoSpaceDE w:val="0"/>
        <w:autoSpaceDN w:val="0"/>
        <w:spacing w:before="224" w:after="0" w:line="240" w:lineRule="exact"/>
        <w:ind w:left="154"/>
      </w:pPr>
      <w:r>
        <w:rPr>
          <w:rFonts w:ascii="GillSansMTPro" w:eastAsia="GillSansMTPro" w:hAnsi="GillSansMTPro"/>
          <w:b/>
          <w:color w:val="221F1F"/>
          <w:sz w:val="20"/>
        </w:rPr>
        <w:t>References</w:t>
      </w:r>
    </w:p>
    <w:p w14:paraId="44B5ADA1" w14:textId="77777777" w:rsidR="00FA6DE4" w:rsidRDefault="00000000">
      <w:pPr>
        <w:autoSpaceDE w:val="0"/>
        <w:autoSpaceDN w:val="0"/>
        <w:spacing w:before="92" w:after="0" w:line="200" w:lineRule="exact"/>
        <w:ind w:left="154"/>
      </w:pPr>
      <w:r>
        <w:rPr>
          <w:rFonts w:ascii="TimesNewRomanPSMT" w:eastAsia="TimesNewRomanPSMT" w:hAnsi="TimesNewRomanPSMT"/>
          <w:color w:val="221F1F"/>
          <w:sz w:val="18"/>
        </w:rPr>
        <w:t xml:space="preserve">Aguirre, T. M., Koehler, A. E., Joshi, A., &amp; Wilhelm, S. L. (2018). </w:t>
      </w:r>
    </w:p>
    <w:p w14:paraId="08D2DE58" w14:textId="77777777" w:rsidR="00FA6DE4" w:rsidRDefault="00000000">
      <w:pPr>
        <w:tabs>
          <w:tab w:val="left" w:pos="474"/>
        </w:tabs>
        <w:autoSpaceDE w:val="0"/>
        <w:autoSpaceDN w:val="0"/>
        <w:spacing w:after="0" w:line="220" w:lineRule="exact"/>
        <w:ind w:left="154"/>
      </w:pPr>
      <w:r>
        <w:tab/>
      </w:r>
      <w:r>
        <w:rPr>
          <w:rFonts w:ascii="TimesNewRomanPSMT" w:eastAsia="TimesNewRomanPSMT" w:hAnsi="TimesNewRomanPSMT"/>
          <w:color w:val="221F1F"/>
          <w:sz w:val="18"/>
        </w:rPr>
        <w:t xml:space="preserve">Recruitment and retention challenges and successes. </w:t>
      </w:r>
      <w:r>
        <w:rPr>
          <w:rFonts w:ascii="TimesNewRomanPS" w:eastAsia="TimesNewRomanPS" w:hAnsi="TimesNewRomanPS"/>
          <w:i/>
          <w:color w:val="221F1F"/>
          <w:sz w:val="18"/>
        </w:rPr>
        <w:t xml:space="preserve">Ethnicity </w:t>
      </w:r>
      <w:r>
        <w:tab/>
      </w:r>
      <w:r>
        <w:rPr>
          <w:rFonts w:ascii="TimesNewRomanPS" w:eastAsia="TimesNewRomanPS" w:hAnsi="TimesNewRomanPS"/>
          <w:i/>
          <w:color w:val="221F1F"/>
          <w:sz w:val="18"/>
        </w:rPr>
        <w:t>&amp;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23</w:t>
      </w:r>
      <w:r>
        <w:rPr>
          <w:rFonts w:ascii="TimesNewRomanPSMT" w:eastAsia="TimesNewRomanPSMT" w:hAnsi="TimesNewRomanPSMT"/>
          <w:color w:val="221F1F"/>
          <w:sz w:val="18"/>
        </w:rPr>
        <w:t xml:space="preserve">, 111-119. </w:t>
      </w:r>
      <w:hyperlink r:id="rId23" w:history="1">
        <w:r>
          <w:rPr>
            <w:rFonts w:ascii="TimesNewRomanPSMT" w:eastAsia="TimesNewRomanPSMT" w:hAnsi="TimesNewRomanPSMT"/>
            <w:color w:val="221F1F"/>
            <w:sz w:val="18"/>
          </w:rPr>
          <w:t xml:space="preserve">https://doi.org/10.1080/13557858.201 </w:t>
        </w:r>
      </w:hyperlink>
      <w:r>
        <w:tab/>
      </w:r>
      <w:hyperlink r:id="rId24" w:history="1">
        <w:r>
          <w:rPr>
            <w:rFonts w:ascii="TimesNewRomanPSMT" w:eastAsia="TimesNewRomanPSMT" w:hAnsi="TimesNewRomanPSMT"/>
            <w:color w:val="221F1F"/>
            <w:sz w:val="18"/>
          </w:rPr>
          <w:t xml:space="preserve">6.1246427 </w:t>
        </w:r>
      </w:hyperlink>
      <w:r>
        <w:br/>
      </w:r>
      <w:r>
        <w:rPr>
          <w:rFonts w:ascii="TimesNewRomanPSMT" w:eastAsia="TimesNewRomanPSMT" w:hAnsi="TimesNewRomanPSMT"/>
          <w:color w:val="221F1F"/>
          <w:sz w:val="18"/>
        </w:rPr>
        <w:t xml:space="preserve">Anderson, M., &amp; Kumar, M. (2019, May 7). </w:t>
      </w:r>
      <w:r>
        <w:rPr>
          <w:rFonts w:ascii="TimesNewRomanPS" w:eastAsia="TimesNewRomanPS" w:hAnsi="TimesNewRomanPS"/>
          <w:i/>
          <w:color w:val="221F1F"/>
          <w:sz w:val="18"/>
        </w:rPr>
        <w:t>Digital divide per-</w:t>
      </w:r>
      <w:r>
        <w:tab/>
      </w:r>
      <w:r>
        <w:rPr>
          <w:rFonts w:ascii="TimesNewRomanPS" w:eastAsia="TimesNewRomanPS" w:hAnsi="TimesNewRomanPS"/>
          <w:i/>
          <w:color w:val="221F1F"/>
          <w:sz w:val="18"/>
        </w:rPr>
        <w:t xml:space="preserve">sists even as lower-income Americans make gains in tech </w:t>
      </w:r>
      <w:r>
        <w:tab/>
      </w:r>
      <w:r>
        <w:rPr>
          <w:rFonts w:ascii="TimesNewRomanPS" w:eastAsia="TimesNewRomanPS" w:hAnsi="TimesNewRomanPS"/>
          <w:i/>
          <w:color w:val="221F1F"/>
          <w:sz w:val="18"/>
        </w:rPr>
        <w:t>adoption</w:t>
      </w:r>
      <w:r>
        <w:rPr>
          <w:rFonts w:ascii="TimesNewRomanPSMT" w:eastAsia="TimesNewRomanPSMT" w:hAnsi="TimesNewRomanPSMT"/>
          <w:color w:val="221F1F"/>
          <w:sz w:val="18"/>
        </w:rPr>
        <w:t xml:space="preserve">. Retrieved from </w:t>
      </w:r>
      <w:hyperlink r:id="rId25" w:history="1">
        <w:r>
          <w:rPr>
            <w:rFonts w:ascii="TimesNewRomanPSMT" w:eastAsia="TimesNewRomanPSMT" w:hAnsi="TimesNewRomanPSMT"/>
            <w:color w:val="221F1F"/>
            <w:sz w:val="18"/>
          </w:rPr>
          <w:t>https://www.pewresearch.org/fact-</w:t>
        </w:r>
      </w:hyperlink>
      <w:r>
        <w:tab/>
      </w:r>
      <w:hyperlink r:id="rId26" w:history="1">
        <w:r>
          <w:rPr>
            <w:rFonts w:ascii="TimesNewRomanPSMT" w:eastAsia="TimesNewRomanPSMT" w:hAnsi="TimesNewRomanPSMT"/>
            <w:color w:val="221F1F"/>
            <w:sz w:val="18"/>
          </w:rPr>
          <w:t>tank/2019/05/07/digital-divide-persists-even-as-lower-income-</w:t>
        </w:r>
      </w:hyperlink>
      <w:r>
        <w:tab/>
      </w:r>
      <w:hyperlink r:id="rId27" w:history="1">
        <w:r>
          <w:rPr>
            <w:rFonts w:ascii="TimesNewRomanPSMT" w:eastAsia="TimesNewRomanPSMT" w:hAnsi="TimesNewRomanPSMT"/>
            <w:color w:val="221F1F"/>
            <w:sz w:val="18"/>
          </w:rPr>
          <w:t xml:space="preserve">americans-make-gains-in-tech-adoption/ </w:t>
        </w:r>
      </w:hyperlink>
      <w:r>
        <w:br/>
      </w:r>
      <w:r>
        <w:rPr>
          <w:rFonts w:ascii="TimesNewRomanPSMT" w:eastAsia="TimesNewRomanPSMT" w:hAnsi="TimesNewRomanPSMT"/>
          <w:color w:val="221F1F"/>
          <w:sz w:val="18"/>
        </w:rPr>
        <w:t xml:space="preserve">Arpey, N. C., Gaglioti, A. H., &amp; Rosenbaum, M. E. (2017). </w:t>
      </w:r>
    </w:p>
    <w:p w14:paraId="1CA89C2E" w14:textId="77777777" w:rsidR="00FA6DE4" w:rsidRDefault="00000000">
      <w:pPr>
        <w:tabs>
          <w:tab w:val="left" w:pos="474"/>
        </w:tabs>
        <w:autoSpaceDE w:val="0"/>
        <w:autoSpaceDN w:val="0"/>
        <w:spacing w:after="0" w:line="220" w:lineRule="exact"/>
        <w:ind w:left="154"/>
      </w:pPr>
      <w:r>
        <w:tab/>
      </w:r>
      <w:r>
        <w:rPr>
          <w:rFonts w:ascii="TimesNewRomanPSMT" w:eastAsia="TimesNewRomanPSMT" w:hAnsi="TimesNewRomanPSMT"/>
          <w:color w:val="221F1F"/>
          <w:sz w:val="18"/>
        </w:rPr>
        <w:t xml:space="preserve">How socioeconomic status affects patient perceptions of </w:t>
      </w:r>
      <w:r>
        <w:tab/>
      </w:r>
      <w:r>
        <w:rPr>
          <w:rFonts w:ascii="TimesNewRomanPSMT" w:eastAsia="TimesNewRomanPSMT" w:hAnsi="TimesNewRomanPSMT"/>
          <w:color w:val="221F1F"/>
          <w:sz w:val="18"/>
        </w:rPr>
        <w:t xml:space="preserve">health care: A qualitative study. </w:t>
      </w:r>
      <w:r>
        <w:rPr>
          <w:rFonts w:ascii="TimesNewRomanPS" w:eastAsia="TimesNewRomanPS" w:hAnsi="TimesNewRomanPS"/>
          <w:i/>
          <w:color w:val="221F1F"/>
          <w:sz w:val="18"/>
        </w:rPr>
        <w:t xml:space="preserve">Journal of Primary Care &amp; </w:t>
      </w:r>
      <w:r>
        <w:tab/>
      </w:r>
      <w:r>
        <w:rPr>
          <w:rFonts w:ascii="TimesNewRomanPS" w:eastAsia="TimesNewRomanPS" w:hAnsi="TimesNewRomanPS"/>
          <w:i/>
          <w:color w:val="221F1F"/>
          <w:sz w:val="18"/>
        </w:rPr>
        <w:t>Community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8</w:t>
      </w:r>
      <w:r>
        <w:rPr>
          <w:rFonts w:ascii="TimesNewRomanPSMT" w:eastAsia="TimesNewRomanPSMT" w:hAnsi="TimesNewRomanPSMT"/>
          <w:color w:val="221F1F"/>
          <w:sz w:val="18"/>
        </w:rPr>
        <w:t xml:space="preserve">(3), 169-175. </w:t>
      </w:r>
      <w:hyperlink r:id="rId28" w:history="1">
        <w:r>
          <w:rPr>
            <w:rFonts w:ascii="TimesNewRomanPSMT" w:eastAsia="TimesNewRomanPSMT" w:hAnsi="TimesNewRomanPSMT"/>
            <w:color w:val="221F1F"/>
            <w:sz w:val="18"/>
          </w:rPr>
          <w:t>https://doi.org/10.1177/215</w:t>
        </w:r>
      </w:hyperlink>
      <w:r>
        <w:rPr>
          <w:rFonts w:ascii="TimesNewRomanPSMT" w:eastAsia="TimesNewRomanPSMT" w:hAnsi="TimesNewRomanPSMT"/>
          <w:color w:val="221F1F"/>
          <w:sz w:val="18"/>
        </w:rPr>
        <w:t xml:space="preserve"> </w:t>
      </w:r>
      <w:r>
        <w:tab/>
      </w:r>
      <w:hyperlink r:id="rId29" w:history="1">
        <w:r>
          <w:rPr>
            <w:rFonts w:ascii="TimesNewRomanPSMT" w:eastAsia="TimesNewRomanPSMT" w:hAnsi="TimesNewRomanPSMT"/>
            <w:color w:val="221F1F"/>
            <w:sz w:val="18"/>
          </w:rPr>
          <w:t xml:space="preserve">0131917697439 </w:t>
        </w:r>
      </w:hyperlink>
      <w:r>
        <w:br/>
      </w:r>
      <w:r>
        <w:rPr>
          <w:rFonts w:ascii="TimesNewRomanPSMT" w:eastAsia="TimesNewRomanPSMT" w:hAnsi="TimesNewRomanPSMT"/>
          <w:color w:val="221F1F"/>
          <w:sz w:val="18"/>
        </w:rPr>
        <w:t xml:space="preserve">Ashing-Giwa, K., &amp; Rosales, M. (2012). Recruitment and retention </w:t>
      </w:r>
      <w:r>
        <w:tab/>
      </w:r>
      <w:r>
        <w:rPr>
          <w:rFonts w:ascii="TimesNewRomanPSMT" w:eastAsia="TimesNewRomanPSMT" w:hAnsi="TimesNewRomanPSMT"/>
          <w:color w:val="221F1F"/>
          <w:sz w:val="18"/>
        </w:rPr>
        <w:t xml:space="preserve">strategies of African American and Latina American breast </w:t>
      </w:r>
      <w:r>
        <w:tab/>
      </w:r>
      <w:r>
        <w:rPr>
          <w:rFonts w:ascii="TimesNewRomanPSMT" w:eastAsia="TimesNewRomanPSMT" w:hAnsi="TimesNewRomanPSMT"/>
          <w:color w:val="221F1F"/>
          <w:sz w:val="18"/>
        </w:rPr>
        <w:t xml:space="preserve">cancer survivors in a longitudinal psycho-oncology study. </w:t>
      </w:r>
    </w:p>
    <w:p w14:paraId="0B7C4BC2" w14:textId="77777777" w:rsidR="00FA6DE4" w:rsidRDefault="00000000">
      <w:pPr>
        <w:tabs>
          <w:tab w:val="left" w:pos="474"/>
        </w:tabs>
        <w:autoSpaceDE w:val="0"/>
        <w:autoSpaceDN w:val="0"/>
        <w:spacing w:after="0" w:line="220" w:lineRule="exact"/>
        <w:ind w:left="154"/>
      </w:pPr>
      <w:r>
        <w:tab/>
      </w:r>
      <w:r>
        <w:rPr>
          <w:rFonts w:ascii="TimesNewRomanPS" w:eastAsia="TimesNewRomanPS" w:hAnsi="TimesNewRomanPS"/>
          <w:i/>
          <w:color w:val="221F1F"/>
          <w:sz w:val="18"/>
        </w:rPr>
        <w:t>Oncology Nursing Forum</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39</w:t>
      </w:r>
      <w:r>
        <w:rPr>
          <w:rFonts w:ascii="TimesNewRomanPSMT" w:eastAsia="TimesNewRomanPSMT" w:hAnsi="TimesNewRomanPSMT"/>
          <w:color w:val="221F1F"/>
          <w:sz w:val="18"/>
        </w:rPr>
        <w:t xml:space="preserve">(5), E434-E442. </w:t>
      </w:r>
      <w:hyperlink r:id="rId30" w:history="1">
        <w:r>
          <w:rPr>
            <w:rFonts w:ascii="TimesNewRomanPSMT" w:eastAsia="TimesNewRomanPSMT" w:hAnsi="TimesNewRomanPSMT"/>
            <w:color w:val="221F1F"/>
            <w:sz w:val="18"/>
          </w:rPr>
          <w:t>https://doi.org/</w:t>
        </w:r>
      </w:hyperlink>
      <w:r>
        <w:rPr>
          <w:rFonts w:ascii="TimesNewRomanPSMT" w:eastAsia="TimesNewRomanPSMT" w:hAnsi="TimesNewRomanPSMT"/>
          <w:color w:val="221F1F"/>
          <w:sz w:val="18"/>
        </w:rPr>
        <w:t xml:space="preserve"> </w:t>
      </w:r>
      <w:r>
        <w:tab/>
      </w:r>
      <w:hyperlink r:id="rId31" w:history="1">
        <w:r>
          <w:rPr>
            <w:rFonts w:ascii="TimesNewRomanPSMT" w:eastAsia="TimesNewRomanPSMT" w:hAnsi="TimesNewRomanPSMT"/>
            <w:color w:val="221F1F"/>
            <w:sz w:val="18"/>
          </w:rPr>
          <w:t xml:space="preserve">10.1188/12.ONF.E434-E442 </w:t>
        </w:r>
      </w:hyperlink>
      <w:r>
        <w:br/>
      </w:r>
      <w:r>
        <w:rPr>
          <w:rFonts w:ascii="TimesNewRomanPSMT" w:eastAsia="TimesNewRomanPSMT" w:hAnsi="TimesNewRomanPSMT"/>
          <w:color w:val="221F1F"/>
          <w:sz w:val="18"/>
        </w:rPr>
        <w:t xml:space="preserve">Backinger, C. L., Michaels, C. N., Jefferson, A. M., Fagan, P., Hurd, </w:t>
      </w:r>
      <w:r>
        <w:tab/>
      </w:r>
      <w:r>
        <w:rPr>
          <w:rFonts w:ascii="TimesNewRomanPSMT" w:eastAsia="TimesNewRomanPSMT" w:hAnsi="TimesNewRomanPSMT"/>
          <w:color w:val="221F1F"/>
          <w:sz w:val="18"/>
        </w:rPr>
        <w:t xml:space="preserve">A. L., &amp; Grana, R. (2008). Factors associated with recruitment </w:t>
      </w:r>
      <w:r>
        <w:tab/>
      </w:r>
      <w:r>
        <w:rPr>
          <w:rFonts w:ascii="TimesNewRomanPSMT" w:eastAsia="TimesNewRomanPSMT" w:hAnsi="TimesNewRomanPSMT"/>
          <w:color w:val="221F1F"/>
          <w:sz w:val="18"/>
        </w:rPr>
        <w:t xml:space="preserve">and retention of youth into smoking cessation intervention </w:t>
      </w:r>
      <w:r>
        <w:tab/>
      </w:r>
      <w:r>
        <w:rPr>
          <w:rFonts w:ascii="TimesNewRomanPSMT" w:eastAsia="TimesNewRomanPSMT" w:hAnsi="TimesNewRomanPSMT"/>
          <w:color w:val="221F1F"/>
          <w:sz w:val="18"/>
        </w:rPr>
        <w:t xml:space="preserve">studies: A review of the literature. </w:t>
      </w:r>
      <w:r>
        <w:rPr>
          <w:rFonts w:ascii="TimesNewRomanPS" w:eastAsia="TimesNewRomanPS" w:hAnsi="TimesNewRomanPS"/>
          <w:i/>
          <w:color w:val="221F1F"/>
          <w:sz w:val="18"/>
        </w:rPr>
        <w:t>Health Education Research</w:t>
      </w:r>
      <w:r>
        <w:rPr>
          <w:rFonts w:ascii="TimesNewRomanPSMT" w:eastAsia="TimesNewRomanPSMT" w:hAnsi="TimesNewRomanPSMT"/>
          <w:color w:val="221F1F"/>
          <w:sz w:val="18"/>
        </w:rPr>
        <w:t xml:space="preserve">, </w:t>
      </w:r>
      <w:r>
        <w:tab/>
      </w:r>
      <w:r>
        <w:rPr>
          <w:rFonts w:ascii="TimesNewRomanPS" w:eastAsia="TimesNewRomanPS" w:hAnsi="TimesNewRomanPS"/>
          <w:i/>
          <w:color w:val="221F1F"/>
          <w:sz w:val="18"/>
        </w:rPr>
        <w:t>23</w:t>
      </w:r>
      <w:r>
        <w:rPr>
          <w:rFonts w:ascii="TimesNewRomanPSMT" w:eastAsia="TimesNewRomanPSMT" w:hAnsi="TimesNewRomanPSMT"/>
          <w:color w:val="221F1F"/>
          <w:sz w:val="18"/>
        </w:rPr>
        <w:t xml:space="preserve">(2), 359-368. </w:t>
      </w:r>
      <w:hyperlink r:id="rId32" w:history="1">
        <w:r>
          <w:rPr>
            <w:rFonts w:ascii="TimesNewRomanPSMT" w:eastAsia="TimesNewRomanPSMT" w:hAnsi="TimesNewRomanPSMT"/>
            <w:color w:val="221F1F"/>
            <w:sz w:val="18"/>
          </w:rPr>
          <w:t xml:space="preserve">https://doi.org/10.1093/her/cym053 </w:t>
        </w:r>
      </w:hyperlink>
      <w:r>
        <w:br/>
      </w:r>
      <w:r>
        <w:rPr>
          <w:rFonts w:ascii="TimesNewRomanPSMT" w:eastAsia="TimesNewRomanPSMT" w:hAnsi="TimesNewRomanPSMT"/>
          <w:color w:val="221F1F"/>
          <w:sz w:val="18"/>
        </w:rPr>
        <w:t xml:space="preserve">Byrne, M. M., Tannenbaum, S. L., Gluck, S., Hurley, J., &amp; Antoni, </w:t>
      </w:r>
      <w:r>
        <w:tab/>
      </w:r>
      <w:r>
        <w:rPr>
          <w:rFonts w:ascii="TimesNewRomanPSMT" w:eastAsia="TimesNewRomanPSMT" w:hAnsi="TimesNewRomanPSMT"/>
          <w:color w:val="221F1F"/>
          <w:sz w:val="18"/>
        </w:rPr>
        <w:t xml:space="preserve">M. (2014). Participation in cancer clinical trials: Why are </w:t>
      </w:r>
      <w:r>
        <w:tab/>
      </w:r>
      <w:r>
        <w:rPr>
          <w:rFonts w:ascii="TimesNewRomanPSMT" w:eastAsia="TimesNewRomanPSMT" w:hAnsi="TimesNewRomanPSMT"/>
          <w:color w:val="221F1F"/>
          <w:sz w:val="18"/>
        </w:rPr>
        <w:t xml:space="preserve">patients not participating? </w:t>
      </w:r>
      <w:r>
        <w:rPr>
          <w:rFonts w:ascii="TimesNewRomanPS" w:eastAsia="TimesNewRomanPS" w:hAnsi="TimesNewRomanPS"/>
          <w:i/>
          <w:color w:val="221F1F"/>
          <w:sz w:val="18"/>
        </w:rPr>
        <w:t>Medical Decision Making</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34</w:t>
      </w:r>
      <w:r>
        <w:rPr>
          <w:rFonts w:ascii="TimesNewRomanPSMT" w:eastAsia="TimesNewRomanPSMT" w:hAnsi="TimesNewRomanPSMT"/>
          <w:color w:val="221F1F"/>
          <w:sz w:val="18"/>
        </w:rPr>
        <w:t xml:space="preserve">(1), </w:t>
      </w:r>
      <w:r>
        <w:tab/>
      </w:r>
      <w:r>
        <w:rPr>
          <w:rFonts w:ascii="TimesNewRomanPSMT" w:eastAsia="TimesNewRomanPSMT" w:hAnsi="TimesNewRomanPSMT"/>
          <w:color w:val="221F1F"/>
          <w:sz w:val="18"/>
        </w:rPr>
        <w:t xml:space="preserve">116-126. </w:t>
      </w:r>
      <w:hyperlink r:id="rId33" w:history="1">
        <w:r>
          <w:rPr>
            <w:rFonts w:ascii="TimesNewRomanPSMT" w:eastAsia="TimesNewRomanPSMT" w:hAnsi="TimesNewRomanPSMT"/>
            <w:color w:val="221F1F"/>
            <w:sz w:val="18"/>
          </w:rPr>
          <w:t xml:space="preserve">https://doi.org/10.1177/0272989X13497264 </w:t>
        </w:r>
      </w:hyperlink>
      <w:r>
        <w:br/>
      </w:r>
      <w:r>
        <w:rPr>
          <w:rFonts w:ascii="TimesNewRomanPSMT" w:eastAsia="TimesNewRomanPSMT" w:hAnsi="TimesNewRomanPSMT"/>
          <w:color w:val="221F1F"/>
          <w:sz w:val="18"/>
        </w:rPr>
        <w:t xml:space="preserve">Colby, S. L., &amp; Ortman, J. M. (2017). Projections of the size and </w:t>
      </w:r>
      <w:r>
        <w:tab/>
      </w:r>
      <w:r>
        <w:rPr>
          <w:rFonts w:ascii="TimesNewRomanPSMT" w:eastAsia="TimesNewRomanPSMT" w:hAnsi="TimesNewRomanPSMT"/>
          <w:color w:val="221F1F"/>
          <w:sz w:val="18"/>
        </w:rPr>
        <w:t>composition of the U.S. population: 2014 to 2060 (Current pop-</w:t>
      </w:r>
      <w:r>
        <w:tab/>
      </w:r>
      <w:r>
        <w:rPr>
          <w:rFonts w:ascii="TimesNewRomanPSMT" w:eastAsia="TimesNewRomanPSMT" w:hAnsi="TimesNewRomanPSMT"/>
          <w:color w:val="221F1F"/>
          <w:sz w:val="18"/>
        </w:rPr>
        <w:t xml:space="preserve">ulation reports P25-1143). U.S. Census Bureau. </w:t>
      </w:r>
      <w:hyperlink r:id="rId34" w:history="1">
        <w:r>
          <w:rPr>
            <w:rFonts w:ascii="TimesNewRomanPSMT" w:eastAsia="TimesNewRomanPSMT" w:hAnsi="TimesNewRomanPSMT"/>
            <w:color w:val="221F1F"/>
            <w:sz w:val="18"/>
          </w:rPr>
          <w:t>https://www.</w:t>
        </w:r>
      </w:hyperlink>
    </w:p>
    <w:p w14:paraId="3A730A0C" w14:textId="77777777" w:rsidR="00FA6DE4" w:rsidRDefault="00000000">
      <w:pPr>
        <w:tabs>
          <w:tab w:val="left" w:pos="474"/>
        </w:tabs>
        <w:autoSpaceDE w:val="0"/>
        <w:autoSpaceDN w:val="0"/>
        <w:spacing w:after="0" w:line="220" w:lineRule="exact"/>
        <w:ind w:left="154"/>
      </w:pPr>
      <w:r>
        <w:tab/>
      </w:r>
      <w:hyperlink r:id="rId35" w:history="1">
        <w:r>
          <w:rPr>
            <w:rFonts w:ascii="TimesNewRomanPSMT" w:eastAsia="TimesNewRomanPSMT" w:hAnsi="TimesNewRomanPSMT"/>
            <w:color w:val="221F1F"/>
            <w:sz w:val="18"/>
          </w:rPr>
          <w:t xml:space="preserve">census.gov/content/dam/Census/library/publications/2015/ </w:t>
        </w:r>
      </w:hyperlink>
      <w:r>
        <w:tab/>
      </w:r>
      <w:hyperlink r:id="rId36" w:history="1">
        <w:r>
          <w:rPr>
            <w:rFonts w:ascii="TimesNewRomanPSMT" w:eastAsia="TimesNewRomanPSMT" w:hAnsi="TimesNewRomanPSMT"/>
            <w:color w:val="221F1F"/>
            <w:sz w:val="18"/>
          </w:rPr>
          <w:t xml:space="preserve">demo/p25-1143.pdf </w:t>
        </w:r>
      </w:hyperlink>
      <w:r>
        <w:br/>
      </w:r>
      <w:r>
        <w:rPr>
          <w:rFonts w:ascii="TimesNewRomanPSMT" w:eastAsia="TimesNewRomanPSMT" w:hAnsi="TimesNewRomanPSMT"/>
          <w:color w:val="221F1F"/>
          <w:sz w:val="18"/>
        </w:rPr>
        <w:t xml:space="preserve">Cui, Z., Seburg, E. M., Sherwood, N. E., Faith, M. S., &amp; Ward, </w:t>
      </w:r>
      <w:r>
        <w:tab/>
      </w:r>
      <w:r>
        <w:rPr>
          <w:rFonts w:ascii="TimesNewRomanPSMT" w:eastAsia="TimesNewRomanPSMT" w:hAnsi="TimesNewRomanPSMT"/>
          <w:color w:val="221F1F"/>
          <w:sz w:val="18"/>
        </w:rPr>
        <w:t xml:space="preserve">D. S. (2015). Recruitment and retention in obesity prevention </w:t>
      </w:r>
      <w:r>
        <w:tab/>
      </w:r>
      <w:r>
        <w:rPr>
          <w:rFonts w:ascii="TimesNewRomanPSMT" w:eastAsia="TimesNewRomanPSMT" w:hAnsi="TimesNewRomanPSMT"/>
          <w:color w:val="221F1F"/>
          <w:sz w:val="18"/>
        </w:rPr>
        <w:t xml:space="preserve">and treatment trials targeting minority or low-income children: </w:t>
      </w:r>
      <w:r>
        <w:tab/>
      </w:r>
      <w:r>
        <w:rPr>
          <w:rFonts w:ascii="TimesNewRomanPSMT" w:eastAsia="TimesNewRomanPSMT" w:hAnsi="TimesNewRomanPSMT"/>
          <w:color w:val="221F1F"/>
          <w:sz w:val="18"/>
        </w:rPr>
        <w:t xml:space="preserve">A review of the clinical trials registration database. </w:t>
      </w:r>
      <w:r>
        <w:rPr>
          <w:rFonts w:ascii="TimesNewRomanPS" w:eastAsia="TimesNewRomanPS" w:hAnsi="TimesNewRomanPS"/>
          <w:i/>
          <w:color w:val="221F1F"/>
          <w:sz w:val="18"/>
        </w:rPr>
        <w:t>Trials</w:t>
      </w:r>
      <w:r>
        <w:rPr>
          <w:rFonts w:ascii="TimesNewRomanPSMT" w:eastAsia="TimesNewRomanPSMT" w:hAnsi="TimesNewRomanPSMT"/>
          <w:color w:val="221F1F"/>
          <w:sz w:val="18"/>
        </w:rPr>
        <w:t xml:space="preserve">, </w:t>
      </w:r>
      <w:r>
        <w:tab/>
      </w:r>
      <w:r>
        <w:rPr>
          <w:rFonts w:ascii="TimesNewRomanPS" w:eastAsia="TimesNewRomanPS" w:hAnsi="TimesNewRomanPS"/>
          <w:i/>
          <w:color w:val="221F1F"/>
          <w:sz w:val="18"/>
        </w:rPr>
        <w:t>16</w:t>
      </w:r>
      <w:r>
        <w:rPr>
          <w:rFonts w:ascii="TimesNewRomanPSMT" w:eastAsia="TimesNewRomanPSMT" w:hAnsi="TimesNewRomanPSMT"/>
          <w:color w:val="221F1F"/>
          <w:sz w:val="18"/>
        </w:rPr>
        <w:t xml:space="preserve">(564), 1-15. </w:t>
      </w:r>
      <w:hyperlink r:id="rId37" w:history="1">
        <w:r>
          <w:rPr>
            <w:rFonts w:ascii="TimesNewRomanPSMT" w:eastAsia="TimesNewRomanPSMT" w:hAnsi="TimesNewRomanPSMT"/>
            <w:color w:val="221F1F"/>
            <w:sz w:val="18"/>
          </w:rPr>
          <w:t xml:space="preserve">https://doi.org/10.1186/s13063-015-1089-z </w:t>
        </w:r>
      </w:hyperlink>
      <w:r>
        <w:rPr>
          <w:rFonts w:ascii="TimesNewRomanPSMT" w:eastAsia="TimesNewRomanPSMT" w:hAnsi="TimesNewRomanPSMT"/>
          <w:color w:val="221F1F"/>
          <w:sz w:val="18"/>
        </w:rPr>
        <w:t xml:space="preserve">De Las Nueces, D., Hacker, K., DiGirolamo, A., &amp; Hicks, L. S. </w:t>
      </w:r>
    </w:p>
    <w:p w14:paraId="6A554D84" w14:textId="77777777" w:rsidR="00FA6DE4" w:rsidRDefault="00000000">
      <w:pPr>
        <w:autoSpaceDE w:val="0"/>
        <w:autoSpaceDN w:val="0"/>
        <w:spacing w:after="0" w:line="220" w:lineRule="exact"/>
        <w:ind w:left="432"/>
        <w:jc w:val="center"/>
      </w:pPr>
      <w:r>
        <w:rPr>
          <w:rFonts w:ascii="TimesNewRomanPSMT" w:eastAsia="TimesNewRomanPSMT" w:hAnsi="TimesNewRomanPSMT"/>
          <w:color w:val="221F1F"/>
          <w:sz w:val="18"/>
        </w:rPr>
        <w:t xml:space="preserve">(2012). A systematic review of community-based participa-tory research to enhance clinical trials in racial and ethnic </w:t>
      </w:r>
    </w:p>
    <w:p w14:paraId="658BB504" w14:textId="77777777" w:rsidR="00FA6DE4" w:rsidRDefault="00FA6DE4">
      <w:pPr>
        <w:sectPr w:rsidR="00FA6DE4">
          <w:type w:val="nextColumn"/>
          <w:pgSz w:w="12240" w:h="15840"/>
          <w:pgMar w:top="396" w:right="1194" w:bottom="630" w:left="958" w:header="720" w:footer="720" w:gutter="0"/>
          <w:cols w:num="2" w:space="720" w:equalWidth="0">
            <w:col w:w="5038" w:space="0"/>
            <w:col w:w="5049" w:space="0"/>
          </w:cols>
          <w:docGrid w:linePitch="360"/>
        </w:sectPr>
      </w:pPr>
    </w:p>
    <w:p w14:paraId="3BAC4228" w14:textId="77777777" w:rsidR="00FA6DE4" w:rsidRDefault="00FA6DE4">
      <w:pPr>
        <w:autoSpaceDE w:val="0"/>
        <w:autoSpaceDN w:val="0"/>
        <w:spacing w:after="174" w:line="220" w:lineRule="exact"/>
      </w:pPr>
    </w:p>
    <w:tbl>
      <w:tblPr>
        <w:tblW w:w="0" w:type="auto"/>
        <w:tblLayout w:type="fixed"/>
        <w:tblLook w:val="04A0" w:firstRow="1" w:lastRow="0" w:firstColumn="1" w:lastColumn="0" w:noHBand="0" w:noVBand="1"/>
      </w:tblPr>
      <w:tblGrid>
        <w:gridCol w:w="5422"/>
        <w:gridCol w:w="4602"/>
      </w:tblGrid>
      <w:tr w:rsidR="00FA6DE4" w14:paraId="095BCE95" w14:textId="77777777">
        <w:trPr>
          <w:trHeight w:hRule="exact" w:val="254"/>
        </w:trPr>
        <w:tc>
          <w:tcPr>
            <w:tcW w:w="5422" w:type="dxa"/>
            <w:tcBorders>
              <w:bottom w:val="single" w:sz="2" w:space="0" w:color="221F1F"/>
            </w:tcBorders>
            <w:tcMar>
              <w:left w:w="0" w:type="dxa"/>
              <w:right w:w="0" w:type="dxa"/>
            </w:tcMar>
          </w:tcPr>
          <w:p w14:paraId="5A72BAFE" w14:textId="77777777" w:rsidR="00FA6DE4" w:rsidRDefault="00000000">
            <w:pPr>
              <w:autoSpaceDE w:val="0"/>
              <w:autoSpaceDN w:val="0"/>
              <w:spacing w:after="0" w:line="232" w:lineRule="exact"/>
              <w:ind w:left="2"/>
            </w:pPr>
            <w:r>
              <w:rPr>
                <w:rFonts w:ascii="GillSansMTPro" w:eastAsia="GillSansMTPro" w:hAnsi="GillSansMTPro"/>
                <w:i/>
                <w:color w:val="221F1F"/>
                <w:sz w:val="20"/>
              </w:rPr>
              <w:t xml:space="preserve">Wang et al. </w:t>
            </w:r>
          </w:p>
        </w:tc>
        <w:tc>
          <w:tcPr>
            <w:tcW w:w="4602" w:type="dxa"/>
            <w:tcBorders>
              <w:bottom w:val="single" w:sz="2" w:space="0" w:color="221F1F"/>
            </w:tcBorders>
            <w:tcMar>
              <w:left w:w="0" w:type="dxa"/>
              <w:right w:w="0" w:type="dxa"/>
            </w:tcMar>
          </w:tcPr>
          <w:p w14:paraId="7E7C8088" w14:textId="77777777" w:rsidR="00FA6DE4" w:rsidRDefault="00000000">
            <w:pPr>
              <w:autoSpaceDE w:val="0"/>
              <w:autoSpaceDN w:val="0"/>
              <w:spacing w:after="0" w:line="234" w:lineRule="exact"/>
              <w:ind w:right="2"/>
              <w:jc w:val="right"/>
            </w:pPr>
            <w:r>
              <w:rPr>
                <w:rFonts w:ascii="GillSansMTPro" w:eastAsia="GillSansMTPro" w:hAnsi="GillSansMTPro"/>
                <w:color w:val="221F1F"/>
                <w:sz w:val="20"/>
              </w:rPr>
              <w:t>7</w:t>
            </w:r>
          </w:p>
        </w:tc>
      </w:tr>
    </w:tbl>
    <w:p w14:paraId="2210D045" w14:textId="77777777" w:rsidR="00FA6DE4" w:rsidRDefault="00FA6DE4">
      <w:pPr>
        <w:autoSpaceDE w:val="0"/>
        <w:autoSpaceDN w:val="0"/>
        <w:spacing w:after="338" w:line="14" w:lineRule="exact"/>
      </w:pPr>
    </w:p>
    <w:p w14:paraId="7A12ABFF" w14:textId="77777777" w:rsidR="00FA6DE4" w:rsidRDefault="00FA6DE4">
      <w:pPr>
        <w:sectPr w:rsidR="00FA6DE4">
          <w:pgSz w:w="12240" w:h="15840"/>
          <w:pgMar w:top="396" w:right="894" w:bottom="740" w:left="1258" w:header="720" w:footer="720" w:gutter="0"/>
          <w:cols w:space="720" w:equalWidth="0">
            <w:col w:w="10088" w:space="0"/>
          </w:cols>
          <w:docGrid w:linePitch="360"/>
        </w:sectPr>
      </w:pPr>
    </w:p>
    <w:p w14:paraId="395D5A09" w14:textId="77777777" w:rsidR="00FA6DE4" w:rsidRDefault="00000000">
      <w:pPr>
        <w:tabs>
          <w:tab w:val="left" w:pos="322"/>
        </w:tabs>
        <w:autoSpaceDE w:val="0"/>
        <w:autoSpaceDN w:val="0"/>
        <w:spacing w:after="0" w:line="218" w:lineRule="exact"/>
        <w:ind w:left="2" w:right="144"/>
      </w:pPr>
      <w:r>
        <w:tab/>
      </w:r>
      <w:r>
        <w:rPr>
          <w:rFonts w:ascii="TimesNewRomanPSMT" w:eastAsia="TimesNewRomanPSMT" w:hAnsi="TimesNewRomanPSMT"/>
          <w:color w:val="221F1F"/>
          <w:sz w:val="18"/>
        </w:rPr>
        <w:t xml:space="preserve">minority groups. </w:t>
      </w:r>
      <w:r>
        <w:rPr>
          <w:rFonts w:ascii="TimesNewRomanPS" w:eastAsia="TimesNewRomanPS" w:hAnsi="TimesNewRomanPS"/>
          <w:i/>
          <w:color w:val="221F1F"/>
          <w:sz w:val="18"/>
        </w:rPr>
        <w:t>Health Services Research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47</w:t>
      </w:r>
      <w:r>
        <w:rPr>
          <w:rFonts w:ascii="TimesNewRomanPSMT" w:eastAsia="TimesNewRomanPSMT" w:hAnsi="TimesNewRomanPSMT"/>
          <w:color w:val="221F1F"/>
          <w:sz w:val="18"/>
        </w:rPr>
        <w:t>(3 Pt 2), 1363-</w:t>
      </w:r>
      <w:r>
        <w:tab/>
      </w:r>
      <w:r>
        <w:rPr>
          <w:rFonts w:ascii="TimesNewRomanPSMT" w:eastAsia="TimesNewRomanPSMT" w:hAnsi="TimesNewRomanPSMT"/>
          <w:color w:val="221F1F"/>
          <w:sz w:val="18"/>
        </w:rPr>
        <w:t xml:space="preserve">1386. </w:t>
      </w:r>
      <w:hyperlink r:id="rId38" w:history="1">
        <w:r>
          <w:rPr>
            <w:rFonts w:ascii="TimesNewRomanPSMT" w:eastAsia="TimesNewRomanPSMT" w:hAnsi="TimesNewRomanPSMT"/>
            <w:color w:val="221F1F"/>
            <w:sz w:val="18"/>
          </w:rPr>
          <w:t xml:space="preserve">https://doi.org/10.1111/j.1475-6773.2012.01386.x </w:t>
        </w:r>
      </w:hyperlink>
      <w:r>
        <w:rPr>
          <w:rFonts w:ascii="TimesNewRomanPSMT" w:eastAsia="TimesNewRomanPSMT" w:hAnsi="TimesNewRomanPSMT"/>
          <w:color w:val="221F1F"/>
          <w:sz w:val="18"/>
        </w:rPr>
        <w:t xml:space="preserve">Diaz, V. (2012). Encouraging participation of minorities in research </w:t>
      </w:r>
      <w:r>
        <w:tab/>
      </w:r>
      <w:r>
        <w:rPr>
          <w:rFonts w:ascii="TimesNewRomanPSMT" w:eastAsia="TimesNewRomanPSMT" w:hAnsi="TimesNewRomanPSMT"/>
          <w:color w:val="221F1F"/>
          <w:sz w:val="18"/>
        </w:rPr>
        <w:t xml:space="preserve">studies. </w:t>
      </w:r>
      <w:r>
        <w:rPr>
          <w:rFonts w:ascii="TimesNewRomanPS" w:eastAsia="TimesNewRomanPS" w:hAnsi="TimesNewRomanPS"/>
          <w:i/>
          <w:color w:val="221F1F"/>
          <w:sz w:val="18"/>
        </w:rPr>
        <w:t>Annals of Family Medicine</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10</w:t>
      </w:r>
      <w:r>
        <w:rPr>
          <w:rFonts w:ascii="TimesNewRomanPSMT" w:eastAsia="TimesNewRomanPSMT" w:hAnsi="TimesNewRomanPSMT"/>
          <w:color w:val="221F1F"/>
          <w:sz w:val="18"/>
        </w:rPr>
        <w:t xml:space="preserve">(4), 372-373. </w:t>
      </w:r>
      <w:hyperlink r:id="rId39" w:history="1">
        <w:r>
          <w:rPr>
            <w:rFonts w:ascii="TimesNewRomanPSMT" w:eastAsia="TimesNewRomanPSMT" w:hAnsi="TimesNewRomanPSMT"/>
            <w:color w:val="221F1F"/>
            <w:sz w:val="18"/>
          </w:rPr>
          <w:t xml:space="preserve">https:// </w:t>
        </w:r>
      </w:hyperlink>
      <w:r>
        <w:tab/>
      </w:r>
      <w:hyperlink r:id="rId40" w:history="1">
        <w:r>
          <w:rPr>
            <w:rFonts w:ascii="TimesNewRomanPSMT" w:eastAsia="TimesNewRomanPSMT" w:hAnsi="TimesNewRomanPSMT"/>
            <w:color w:val="221F1F"/>
            <w:sz w:val="18"/>
          </w:rPr>
          <w:t xml:space="preserve">doi.org/10.1370/afm.1426 </w:t>
        </w:r>
      </w:hyperlink>
      <w:r>
        <w:br/>
      </w:r>
      <w:r>
        <w:rPr>
          <w:rFonts w:ascii="TimesNewRomanPSMT" w:eastAsia="TimesNewRomanPSMT" w:hAnsi="TimesNewRomanPSMT"/>
          <w:color w:val="221F1F"/>
          <w:sz w:val="18"/>
        </w:rPr>
        <w:t xml:space="preserve">Douthit, N., Kiv, S., Dwolatzky, T., &amp; Biswas, S. (2015). Exposing </w:t>
      </w:r>
      <w:r>
        <w:tab/>
      </w:r>
      <w:r>
        <w:rPr>
          <w:rFonts w:ascii="TimesNewRomanPSMT" w:eastAsia="TimesNewRomanPSMT" w:hAnsi="TimesNewRomanPSMT"/>
          <w:color w:val="221F1F"/>
          <w:sz w:val="18"/>
        </w:rPr>
        <w:t xml:space="preserve">some important barriers to health care access in the rural USA. </w:t>
      </w:r>
    </w:p>
    <w:p w14:paraId="4D53E39C" w14:textId="77777777" w:rsidR="00FA6DE4" w:rsidRDefault="00000000">
      <w:pPr>
        <w:autoSpaceDE w:val="0"/>
        <w:autoSpaceDN w:val="0"/>
        <w:spacing w:before="20" w:after="0" w:line="200" w:lineRule="exact"/>
        <w:ind w:left="322"/>
      </w:pPr>
      <w:r>
        <w:rPr>
          <w:rFonts w:ascii="TimesNewRomanPS" w:eastAsia="TimesNewRomanPS" w:hAnsi="TimesNewRomanPS"/>
          <w:i/>
          <w:color w:val="221F1F"/>
          <w:sz w:val="18"/>
        </w:rPr>
        <w:t>Public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129</w:t>
      </w:r>
      <w:r>
        <w:rPr>
          <w:rFonts w:ascii="TimesNewRomanPSMT" w:eastAsia="TimesNewRomanPSMT" w:hAnsi="TimesNewRomanPSMT"/>
          <w:color w:val="221F1F"/>
          <w:sz w:val="18"/>
        </w:rPr>
        <w:t xml:space="preserve">(6), 611-620. </w:t>
      </w:r>
      <w:hyperlink r:id="rId41" w:history="1">
        <w:r>
          <w:rPr>
            <w:rFonts w:ascii="TimesNewRomanPSMT" w:eastAsia="TimesNewRomanPSMT" w:hAnsi="TimesNewRomanPSMT"/>
            <w:color w:val="221F1F"/>
            <w:sz w:val="18"/>
          </w:rPr>
          <w:t>https://doi.org/10.1016/j.</w:t>
        </w:r>
      </w:hyperlink>
    </w:p>
    <w:p w14:paraId="264FB76F" w14:textId="77777777" w:rsidR="00FA6DE4" w:rsidRDefault="00000000">
      <w:pPr>
        <w:tabs>
          <w:tab w:val="left" w:pos="322"/>
        </w:tabs>
        <w:autoSpaceDE w:val="0"/>
        <w:autoSpaceDN w:val="0"/>
        <w:spacing w:after="0" w:line="220" w:lineRule="exact"/>
        <w:ind w:left="2" w:right="144"/>
      </w:pPr>
      <w:r>
        <w:tab/>
      </w:r>
      <w:hyperlink r:id="rId42" w:history="1">
        <w:r>
          <w:rPr>
            <w:rFonts w:ascii="TimesNewRomanPSMT" w:eastAsia="TimesNewRomanPSMT" w:hAnsi="TimesNewRomanPSMT"/>
            <w:color w:val="221F1F"/>
            <w:sz w:val="18"/>
          </w:rPr>
          <w:t xml:space="preserve">puhe.2015.04.001 </w:t>
        </w:r>
      </w:hyperlink>
      <w:r>
        <w:br/>
      </w:r>
      <w:r>
        <w:rPr>
          <w:rFonts w:ascii="TimesNewRomanPSMT" w:eastAsia="TimesNewRomanPSMT" w:hAnsi="TimesNewRomanPSMT"/>
          <w:color w:val="221F1F"/>
          <w:sz w:val="18"/>
        </w:rPr>
        <w:t xml:space="preserve">Farmer, D. F., Jackson, S. A., Camacho, F., &amp; Hall, M. A. (2007). </w:t>
      </w:r>
    </w:p>
    <w:p w14:paraId="5B3CD60B" w14:textId="77777777" w:rsidR="00FA6DE4" w:rsidRDefault="00000000">
      <w:pPr>
        <w:autoSpaceDE w:val="0"/>
        <w:autoSpaceDN w:val="0"/>
        <w:spacing w:before="20" w:after="0" w:line="200" w:lineRule="exact"/>
        <w:ind w:left="322"/>
      </w:pPr>
      <w:r>
        <w:rPr>
          <w:rFonts w:ascii="TimesNewRomanPSMT" w:eastAsia="TimesNewRomanPSMT" w:hAnsi="TimesNewRomanPSMT"/>
          <w:color w:val="221F1F"/>
          <w:sz w:val="18"/>
        </w:rPr>
        <w:t>Attitudes of African American and low socioeconomic sta-</w:t>
      </w:r>
    </w:p>
    <w:p w14:paraId="47EC5117" w14:textId="77777777" w:rsidR="00FA6DE4" w:rsidRDefault="00FA6DE4">
      <w:pPr>
        <w:sectPr w:rsidR="00FA6DE4">
          <w:type w:val="continuous"/>
          <w:pgSz w:w="12240" w:h="15840"/>
          <w:pgMar w:top="396" w:right="894" w:bottom="740" w:left="1258" w:header="720" w:footer="720" w:gutter="0"/>
          <w:cols w:num="2" w:space="720" w:equalWidth="0">
            <w:col w:w="5034" w:space="0"/>
            <w:col w:w="5053" w:space="0"/>
          </w:cols>
          <w:docGrid w:linePitch="360"/>
        </w:sectPr>
      </w:pPr>
    </w:p>
    <w:p w14:paraId="4FEFCB2D" w14:textId="77777777" w:rsidR="00FA6DE4" w:rsidRDefault="00000000">
      <w:pPr>
        <w:tabs>
          <w:tab w:val="left" w:pos="478"/>
        </w:tabs>
        <w:autoSpaceDE w:val="0"/>
        <w:autoSpaceDN w:val="0"/>
        <w:spacing w:after="0" w:line="216" w:lineRule="exact"/>
        <w:ind w:left="158"/>
      </w:pPr>
      <w:r>
        <w:tab/>
      </w:r>
      <w:r>
        <w:rPr>
          <w:rFonts w:ascii="TimesNewRomanPSMT" w:eastAsia="TimesNewRomanPSMT" w:hAnsi="TimesNewRomanPSMT"/>
          <w:color w:val="221F1F"/>
          <w:sz w:val="18"/>
        </w:rPr>
        <w:t xml:space="preserve">into clinical trials. </w:t>
      </w:r>
      <w:r>
        <w:rPr>
          <w:rFonts w:ascii="TimesNewRomanPS" w:eastAsia="TimesNewRomanPS" w:hAnsi="TimesNewRomanPS"/>
          <w:i/>
          <w:color w:val="221F1F"/>
          <w:sz w:val="18"/>
        </w:rPr>
        <w:t>Clinical and Translational Science</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8</w:t>
      </w:r>
      <w:r>
        <w:rPr>
          <w:rFonts w:ascii="TimesNewRomanPSMT" w:eastAsia="TimesNewRomanPSMT" w:hAnsi="TimesNewRomanPSMT"/>
          <w:color w:val="221F1F"/>
          <w:sz w:val="18"/>
        </w:rPr>
        <w:t xml:space="preserve">(5), </w:t>
      </w:r>
      <w:r>
        <w:tab/>
      </w:r>
      <w:r>
        <w:rPr>
          <w:rFonts w:ascii="TimesNewRomanPSMT" w:eastAsia="TimesNewRomanPSMT" w:hAnsi="TimesNewRomanPSMT"/>
          <w:color w:val="221F1F"/>
          <w:sz w:val="18"/>
        </w:rPr>
        <w:t xml:space="preserve">460-466. </w:t>
      </w:r>
      <w:hyperlink r:id="rId43" w:history="1">
        <w:r>
          <w:rPr>
            <w:rFonts w:ascii="TimesNewRomanPSMT" w:eastAsia="TimesNewRomanPSMT" w:hAnsi="TimesNewRomanPSMT"/>
            <w:color w:val="221F1F"/>
            <w:sz w:val="18"/>
          </w:rPr>
          <w:t xml:space="preserve">https://doi.org/10.1111/cts.12285 </w:t>
        </w:r>
      </w:hyperlink>
      <w:r>
        <w:br/>
      </w:r>
      <w:r>
        <w:rPr>
          <w:rFonts w:ascii="TimesNewRomanPSMT" w:eastAsia="TimesNewRomanPSMT" w:hAnsi="TimesNewRomanPSMT"/>
          <w:color w:val="221F1F"/>
          <w:sz w:val="18"/>
        </w:rPr>
        <w:t xml:space="preserve">Ozan, J., Pollock, G., Goswami, H., &amp; Lynn, P. (2018). Challenges </w:t>
      </w:r>
      <w:r>
        <w:tab/>
      </w:r>
      <w:r>
        <w:rPr>
          <w:rFonts w:ascii="TimesNewRomanPSMT" w:eastAsia="TimesNewRomanPSMT" w:hAnsi="TimesNewRomanPSMT"/>
          <w:color w:val="221F1F"/>
          <w:sz w:val="18"/>
        </w:rPr>
        <w:t xml:space="preserve">in conducting a new longitudinal study on children and young </w:t>
      </w:r>
      <w:r>
        <w:tab/>
      </w:r>
      <w:r>
        <w:rPr>
          <w:rFonts w:ascii="TimesNewRomanPSMT" w:eastAsia="TimesNewRomanPSMT" w:hAnsi="TimesNewRomanPSMT"/>
          <w:color w:val="221F1F"/>
          <w:sz w:val="18"/>
        </w:rPr>
        <w:t xml:space="preserve">people well-being in the European Union. In G. Pollock, J. </w:t>
      </w:r>
    </w:p>
    <w:p w14:paraId="3D5265CC" w14:textId="77777777" w:rsidR="00FA6DE4" w:rsidRDefault="00000000">
      <w:pPr>
        <w:autoSpaceDE w:val="0"/>
        <w:autoSpaceDN w:val="0"/>
        <w:spacing w:after="0" w:line="220" w:lineRule="exact"/>
        <w:ind w:left="478"/>
      </w:pPr>
      <w:r>
        <w:rPr>
          <w:rFonts w:ascii="TimesNewRomanPSMT" w:eastAsia="TimesNewRomanPSMT" w:hAnsi="TimesNewRomanPSMT"/>
          <w:color w:val="221F1F"/>
          <w:sz w:val="18"/>
        </w:rPr>
        <w:t xml:space="preserve">Ozan, H. Goswami, G. Rees, &amp; A. Stasulane (Eds.), </w:t>
      </w:r>
      <w:r>
        <w:rPr>
          <w:rFonts w:ascii="TimesNewRomanPS" w:eastAsia="TimesNewRomanPS" w:hAnsi="TimesNewRomanPS"/>
          <w:i/>
          <w:color w:val="221F1F"/>
          <w:sz w:val="18"/>
        </w:rPr>
        <w:t>Measuring youth well-being</w:t>
      </w:r>
      <w:r>
        <w:rPr>
          <w:rFonts w:ascii="TimesNewRomanPSMT" w:eastAsia="TimesNewRomanPSMT" w:hAnsi="TimesNewRomanPSMT"/>
          <w:color w:val="221F1F"/>
          <w:sz w:val="18"/>
        </w:rPr>
        <w:t xml:space="preserve"> (pp. 111-130). Springer.</w:t>
      </w:r>
    </w:p>
    <w:p w14:paraId="1D1824E5" w14:textId="77777777" w:rsidR="00FA6DE4" w:rsidRDefault="00000000">
      <w:pPr>
        <w:autoSpaceDE w:val="0"/>
        <w:autoSpaceDN w:val="0"/>
        <w:spacing w:after="0" w:line="220" w:lineRule="exact"/>
        <w:ind w:left="478" w:hanging="320"/>
      </w:pPr>
      <w:r>
        <w:rPr>
          <w:rFonts w:ascii="TimesNewRomanPSMT" w:eastAsia="TimesNewRomanPSMT" w:hAnsi="TimesNewRomanPSMT"/>
          <w:color w:val="221F1F"/>
          <w:sz w:val="18"/>
        </w:rPr>
        <w:t xml:space="preserve">Perrin, A., &amp; Turner, E. (2019, August 20). </w:t>
      </w:r>
      <w:r>
        <w:rPr>
          <w:rFonts w:ascii="TimesNewRomanPS" w:eastAsia="TimesNewRomanPS" w:hAnsi="TimesNewRomanPS"/>
          <w:i/>
          <w:color w:val="221F1F"/>
          <w:sz w:val="18"/>
        </w:rPr>
        <w:t>Smartphones help blacks, Hispanics bridge some—but not all—digital gaps with whites</w:t>
      </w:r>
      <w:r>
        <w:rPr>
          <w:rFonts w:ascii="TimesNewRomanPSMT" w:eastAsia="TimesNewRomanPSMT" w:hAnsi="TimesNewRomanPSMT"/>
          <w:color w:val="221F1F"/>
          <w:sz w:val="18"/>
        </w:rPr>
        <w:t xml:space="preserve">. </w:t>
      </w:r>
    </w:p>
    <w:p w14:paraId="424C1A3E" w14:textId="77777777" w:rsidR="00FA6DE4" w:rsidRDefault="00000000">
      <w:pPr>
        <w:autoSpaceDE w:val="0"/>
        <w:autoSpaceDN w:val="0"/>
        <w:spacing w:after="18" w:line="220" w:lineRule="exact"/>
        <w:ind w:left="478"/>
      </w:pPr>
      <w:hyperlink r:id="rId44" w:history="1">
        <w:r>
          <w:rPr>
            <w:rFonts w:ascii="TimesNewRomanPSMT" w:eastAsia="TimesNewRomanPSMT" w:hAnsi="TimesNewRomanPSMT"/>
            <w:color w:val="221F1F"/>
            <w:sz w:val="18"/>
          </w:rPr>
          <w:t>https://www.pewresearch.org/fact-tank/2019/08/20/smart-</w:t>
        </w:r>
      </w:hyperlink>
      <w:hyperlink r:id="rId45" w:history="1">
        <w:r>
          <w:rPr>
            <w:rFonts w:ascii="TimesNewRomanPSMT" w:eastAsia="TimesNewRomanPSMT" w:hAnsi="TimesNewRomanPSMT"/>
            <w:color w:val="221F1F"/>
            <w:sz w:val="18"/>
          </w:rPr>
          <w:t>phones-help-blacks-hispanics-bridge-some-but-not-all-digital-</w:t>
        </w:r>
      </w:hyperlink>
    </w:p>
    <w:p w14:paraId="7C978713" w14:textId="77777777" w:rsidR="00FA6DE4" w:rsidRDefault="00FA6DE4">
      <w:pPr>
        <w:sectPr w:rsidR="00FA6DE4">
          <w:type w:val="nextColumn"/>
          <w:pgSz w:w="12240" w:h="15840"/>
          <w:pgMar w:top="396" w:right="894" w:bottom="740" w:left="1258" w:header="720" w:footer="720" w:gutter="0"/>
          <w:cols w:num="2" w:space="720" w:equalWidth="0">
            <w:col w:w="5034" w:space="0"/>
            <w:col w:w="5053" w:space="0"/>
          </w:cols>
          <w:docGrid w:linePitch="360"/>
        </w:sectPr>
      </w:pPr>
    </w:p>
    <w:p w14:paraId="5C25D9D7" w14:textId="77777777" w:rsidR="00FA6DE4" w:rsidRDefault="00000000">
      <w:pPr>
        <w:tabs>
          <w:tab w:val="left" w:pos="5512"/>
        </w:tabs>
        <w:autoSpaceDE w:val="0"/>
        <w:autoSpaceDN w:val="0"/>
        <w:spacing w:after="20" w:line="200" w:lineRule="exact"/>
        <w:ind w:left="322"/>
      </w:pPr>
      <w:r>
        <w:rPr>
          <w:rFonts w:ascii="TimesNewRomanPSMT" w:eastAsia="TimesNewRomanPSMT" w:hAnsi="TimesNewRomanPSMT"/>
          <w:color w:val="221F1F"/>
          <w:sz w:val="18"/>
        </w:rPr>
        <w:t xml:space="preserve">tus white women toward medical research. </w:t>
      </w:r>
      <w:r>
        <w:rPr>
          <w:rFonts w:ascii="TimesNewRomanPS" w:eastAsia="TimesNewRomanPS" w:hAnsi="TimesNewRomanPS"/>
          <w:i/>
          <w:color w:val="221F1F"/>
          <w:sz w:val="18"/>
        </w:rPr>
        <w:t xml:space="preserve">Journal of Health </w:t>
      </w:r>
      <w:r>
        <w:tab/>
      </w:r>
      <w:hyperlink r:id="rId46" w:history="1">
        <w:r>
          <w:rPr>
            <w:rFonts w:ascii="TimesNewRomanPSMT" w:eastAsia="TimesNewRomanPSMT" w:hAnsi="TimesNewRomanPSMT"/>
            <w:color w:val="221F1F"/>
            <w:sz w:val="18"/>
          </w:rPr>
          <w:t>gaps-with-whites/</w:t>
        </w:r>
      </w:hyperlink>
    </w:p>
    <w:p w14:paraId="3322E359" w14:textId="77777777" w:rsidR="00FA6DE4" w:rsidRDefault="00FA6DE4">
      <w:pPr>
        <w:sectPr w:rsidR="00FA6DE4">
          <w:type w:val="continuous"/>
          <w:pgSz w:w="12240" w:h="15840"/>
          <w:pgMar w:top="396" w:right="894" w:bottom="740" w:left="1258" w:header="720" w:footer="720" w:gutter="0"/>
          <w:cols w:space="720" w:equalWidth="0">
            <w:col w:w="10088" w:space="0"/>
          </w:cols>
          <w:docGrid w:linePitch="360"/>
        </w:sectPr>
      </w:pPr>
    </w:p>
    <w:p w14:paraId="5C78A9CB" w14:textId="77777777" w:rsidR="00FA6DE4" w:rsidRDefault="00000000">
      <w:pPr>
        <w:autoSpaceDE w:val="0"/>
        <w:autoSpaceDN w:val="0"/>
        <w:spacing w:after="0" w:line="200" w:lineRule="exact"/>
        <w:ind w:left="322"/>
      </w:pPr>
      <w:r>
        <w:rPr>
          <w:rFonts w:ascii="TimesNewRomanPS" w:eastAsia="TimesNewRomanPS" w:hAnsi="TimesNewRomanPS"/>
          <w:i/>
          <w:color w:val="221F1F"/>
          <w:sz w:val="18"/>
        </w:rPr>
        <w:t>Care for the Poor and Underserved</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18</w:t>
      </w:r>
      <w:r>
        <w:rPr>
          <w:rFonts w:ascii="TimesNewRomanPSMT" w:eastAsia="TimesNewRomanPSMT" w:hAnsi="TimesNewRomanPSMT"/>
          <w:color w:val="221F1F"/>
          <w:sz w:val="18"/>
        </w:rPr>
        <w:t xml:space="preserve">(1), 85-99. </w:t>
      </w:r>
      <w:hyperlink r:id="rId47" w:history="1">
        <w:r>
          <w:rPr>
            <w:rFonts w:ascii="TimesNewRomanPSMT" w:eastAsia="TimesNewRomanPSMT" w:hAnsi="TimesNewRomanPSMT"/>
            <w:color w:val="221F1F"/>
            <w:sz w:val="18"/>
          </w:rPr>
          <w:t>https://doi.</w:t>
        </w:r>
      </w:hyperlink>
    </w:p>
    <w:p w14:paraId="1C16B022" w14:textId="77777777" w:rsidR="00FA6DE4" w:rsidRDefault="00000000">
      <w:pPr>
        <w:tabs>
          <w:tab w:val="left" w:pos="322"/>
        </w:tabs>
        <w:autoSpaceDE w:val="0"/>
        <w:autoSpaceDN w:val="0"/>
        <w:spacing w:after="0" w:line="220" w:lineRule="exact"/>
        <w:ind w:left="2" w:right="144"/>
      </w:pPr>
      <w:r>
        <w:tab/>
      </w:r>
      <w:hyperlink r:id="rId48" w:history="1">
        <w:r>
          <w:rPr>
            <w:rFonts w:ascii="TimesNewRomanPSMT" w:eastAsia="TimesNewRomanPSMT" w:hAnsi="TimesNewRomanPSMT"/>
            <w:color w:val="221F1F"/>
            <w:sz w:val="18"/>
          </w:rPr>
          <w:t xml:space="preserve">org/10.1353/hpu.2007.0008 </w:t>
        </w:r>
      </w:hyperlink>
      <w:r>
        <w:br/>
      </w:r>
      <w:r>
        <w:rPr>
          <w:rFonts w:ascii="TimesNewRomanPSMT" w:eastAsia="TimesNewRomanPSMT" w:hAnsi="TimesNewRomanPSMT"/>
          <w:color w:val="221F1F"/>
          <w:sz w:val="18"/>
        </w:rPr>
        <w:t xml:space="preserve">Fisher, J. A., &amp; Kalbaugh, C. A. (2011). Challenging assumptions </w:t>
      </w:r>
      <w:r>
        <w:tab/>
      </w:r>
      <w:r>
        <w:rPr>
          <w:rFonts w:ascii="TimesNewRomanPSMT" w:eastAsia="TimesNewRomanPSMT" w:hAnsi="TimesNewRomanPSMT"/>
          <w:color w:val="221F1F"/>
          <w:sz w:val="18"/>
        </w:rPr>
        <w:t xml:space="preserve">about minority participation in US clinical research. </w:t>
      </w:r>
      <w:r>
        <w:rPr>
          <w:rFonts w:ascii="TimesNewRomanPS" w:eastAsia="TimesNewRomanPS" w:hAnsi="TimesNewRomanPS"/>
          <w:i/>
          <w:color w:val="221F1F"/>
          <w:sz w:val="18"/>
        </w:rPr>
        <w:t xml:space="preserve">American </w:t>
      </w:r>
      <w:r>
        <w:tab/>
      </w:r>
      <w:r>
        <w:rPr>
          <w:rFonts w:ascii="TimesNewRomanPS" w:eastAsia="TimesNewRomanPS" w:hAnsi="TimesNewRomanPS"/>
          <w:i/>
          <w:color w:val="221F1F"/>
          <w:sz w:val="18"/>
        </w:rPr>
        <w:t>Journal of Public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101</w:t>
      </w:r>
      <w:r>
        <w:rPr>
          <w:rFonts w:ascii="TimesNewRomanPSMT" w:eastAsia="TimesNewRomanPSMT" w:hAnsi="TimesNewRomanPSMT"/>
          <w:color w:val="221F1F"/>
          <w:sz w:val="18"/>
        </w:rPr>
        <w:t xml:space="preserve">(112), 2217-2222. </w:t>
      </w:r>
      <w:hyperlink r:id="rId49" w:history="1">
        <w:r>
          <w:rPr>
            <w:rFonts w:ascii="TimesNewRomanPSMT" w:eastAsia="TimesNewRomanPSMT" w:hAnsi="TimesNewRomanPSMT"/>
            <w:color w:val="221F1F"/>
            <w:sz w:val="18"/>
          </w:rPr>
          <w:t>https://doi.</w:t>
        </w:r>
      </w:hyperlink>
    </w:p>
    <w:p w14:paraId="2D6FC498" w14:textId="77777777" w:rsidR="00FA6DE4" w:rsidRDefault="00000000">
      <w:pPr>
        <w:tabs>
          <w:tab w:val="left" w:pos="322"/>
        </w:tabs>
        <w:autoSpaceDE w:val="0"/>
        <w:autoSpaceDN w:val="0"/>
        <w:spacing w:after="0" w:line="220" w:lineRule="exact"/>
        <w:ind w:left="2" w:right="144"/>
      </w:pPr>
      <w:r>
        <w:tab/>
      </w:r>
      <w:hyperlink r:id="rId50" w:history="1">
        <w:r>
          <w:rPr>
            <w:rFonts w:ascii="TimesNewRomanPSMT" w:eastAsia="TimesNewRomanPSMT" w:hAnsi="TimesNewRomanPSMT"/>
            <w:color w:val="221F1F"/>
            <w:sz w:val="18"/>
          </w:rPr>
          <w:t xml:space="preserve">org/10.2105/AJPH.2011.300279 </w:t>
        </w:r>
      </w:hyperlink>
      <w:r>
        <w:br/>
      </w:r>
      <w:r>
        <w:rPr>
          <w:rFonts w:ascii="TimesNewRomanPSMT" w:eastAsia="TimesNewRomanPSMT" w:hAnsi="TimesNewRomanPSMT"/>
          <w:color w:val="221F1F"/>
          <w:sz w:val="18"/>
        </w:rPr>
        <w:t xml:space="preserve">George, S., Duran, N., &amp; Norris, K. (2014). A systematic review </w:t>
      </w:r>
      <w:r>
        <w:tab/>
      </w:r>
      <w:r>
        <w:rPr>
          <w:rFonts w:ascii="TimesNewRomanPSMT" w:eastAsia="TimesNewRomanPSMT" w:hAnsi="TimesNewRomanPSMT"/>
          <w:color w:val="221F1F"/>
          <w:sz w:val="18"/>
        </w:rPr>
        <w:t xml:space="preserve">of barriers and facilitators to minority research participation </w:t>
      </w:r>
      <w:r>
        <w:tab/>
      </w:r>
      <w:r>
        <w:rPr>
          <w:rFonts w:ascii="TimesNewRomanPSMT" w:eastAsia="TimesNewRomanPSMT" w:hAnsi="TimesNewRomanPSMT"/>
          <w:color w:val="221F1F"/>
          <w:sz w:val="18"/>
        </w:rPr>
        <w:t xml:space="preserve">among African Americans, Latinos, Asian Americans, and </w:t>
      </w:r>
      <w:r>
        <w:tab/>
      </w:r>
      <w:r>
        <w:rPr>
          <w:rFonts w:ascii="TimesNewRomanPSMT" w:eastAsia="TimesNewRomanPSMT" w:hAnsi="TimesNewRomanPSMT"/>
          <w:color w:val="221F1F"/>
          <w:sz w:val="18"/>
        </w:rPr>
        <w:t xml:space="preserve">Pacific Islanders. </w:t>
      </w:r>
      <w:r>
        <w:rPr>
          <w:rFonts w:ascii="TimesNewRomanPS" w:eastAsia="TimesNewRomanPS" w:hAnsi="TimesNewRomanPS"/>
          <w:i/>
          <w:color w:val="221F1F"/>
          <w:sz w:val="18"/>
        </w:rPr>
        <w:t>American Journal of Public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104</w:t>
      </w:r>
      <w:r>
        <w:rPr>
          <w:rFonts w:ascii="TimesNewRomanPSMT" w:eastAsia="TimesNewRomanPSMT" w:hAnsi="TimesNewRomanPSMT"/>
          <w:color w:val="221F1F"/>
          <w:sz w:val="18"/>
        </w:rPr>
        <w:t xml:space="preserve">(2), </w:t>
      </w:r>
      <w:r>
        <w:tab/>
      </w:r>
      <w:r>
        <w:rPr>
          <w:rFonts w:ascii="TimesNewRomanPSMT" w:eastAsia="TimesNewRomanPSMT" w:hAnsi="TimesNewRomanPSMT"/>
          <w:color w:val="221F1F"/>
          <w:sz w:val="18"/>
        </w:rPr>
        <w:t xml:space="preserve">e16-e31. </w:t>
      </w:r>
      <w:hyperlink r:id="rId51" w:history="1">
        <w:r>
          <w:rPr>
            <w:rFonts w:ascii="TimesNewRomanPSMT" w:eastAsia="TimesNewRomanPSMT" w:hAnsi="TimesNewRomanPSMT"/>
            <w:color w:val="221F1F"/>
            <w:sz w:val="18"/>
          </w:rPr>
          <w:t xml:space="preserve">https://doi.org/10.2105/AJPH.2013.301706 </w:t>
        </w:r>
      </w:hyperlink>
      <w:r>
        <w:br/>
      </w:r>
      <w:r>
        <w:rPr>
          <w:rFonts w:ascii="TimesNewRomanPSMT" w:eastAsia="TimesNewRomanPSMT" w:hAnsi="TimesNewRomanPSMT"/>
          <w:color w:val="221F1F"/>
          <w:sz w:val="18"/>
        </w:rPr>
        <w:t xml:space="preserve">Gu, L. L., Skierkowski, D., Florin, P., Friend, K., &amp; Ye, Y. (2016). </w:t>
      </w:r>
    </w:p>
    <w:p w14:paraId="33D5D68F" w14:textId="77777777" w:rsidR="00FA6DE4" w:rsidRDefault="00000000">
      <w:pPr>
        <w:autoSpaceDE w:val="0"/>
        <w:autoSpaceDN w:val="0"/>
        <w:spacing w:after="0" w:line="220" w:lineRule="exact"/>
        <w:ind w:left="288" w:right="144"/>
        <w:jc w:val="center"/>
      </w:pPr>
      <w:r>
        <w:rPr>
          <w:rFonts w:ascii="TimesNewRomanPSMT" w:eastAsia="TimesNewRomanPSMT" w:hAnsi="TimesNewRomanPSMT"/>
          <w:color w:val="221F1F"/>
          <w:sz w:val="18"/>
        </w:rPr>
        <w:t xml:space="preserve">Facebook, Twitter, &amp; QR codes: An exploratory trial exam-ining the feasibility of social media mechanisms for sample </w:t>
      </w:r>
    </w:p>
    <w:p w14:paraId="2D94EF89" w14:textId="77777777" w:rsidR="00FA6DE4" w:rsidRDefault="00FA6DE4">
      <w:pPr>
        <w:sectPr w:rsidR="00FA6DE4">
          <w:type w:val="continuous"/>
          <w:pgSz w:w="12240" w:h="15840"/>
          <w:pgMar w:top="396" w:right="894" w:bottom="740" w:left="1258" w:header="720" w:footer="720" w:gutter="0"/>
          <w:cols w:num="2" w:space="720" w:equalWidth="0">
            <w:col w:w="5034" w:space="0"/>
            <w:col w:w="5053" w:space="0"/>
          </w:cols>
          <w:docGrid w:linePitch="360"/>
        </w:sectPr>
      </w:pPr>
    </w:p>
    <w:p w14:paraId="45B62E77" w14:textId="77777777" w:rsidR="00FA6DE4" w:rsidRDefault="00000000">
      <w:pPr>
        <w:autoSpaceDE w:val="0"/>
        <w:autoSpaceDN w:val="0"/>
        <w:spacing w:after="0" w:line="198" w:lineRule="exact"/>
        <w:ind w:left="158"/>
      </w:pPr>
      <w:r>
        <w:rPr>
          <w:rFonts w:ascii="TimesNewRomanPSMT" w:eastAsia="TimesNewRomanPSMT" w:hAnsi="TimesNewRomanPSMT"/>
          <w:color w:val="221F1F"/>
          <w:sz w:val="18"/>
        </w:rPr>
        <w:t xml:space="preserve">Pescud, M., Pettigrew, S., Wood, L., &amp; Henley, N. (2015). </w:t>
      </w:r>
    </w:p>
    <w:p w14:paraId="792160F2" w14:textId="77777777" w:rsidR="00FA6DE4" w:rsidRDefault="00000000">
      <w:pPr>
        <w:autoSpaceDE w:val="0"/>
        <w:autoSpaceDN w:val="0"/>
        <w:spacing w:after="0" w:line="220" w:lineRule="exact"/>
        <w:ind w:left="478"/>
      </w:pPr>
      <w:r>
        <w:rPr>
          <w:rFonts w:ascii="TimesNewRomanPSMT" w:eastAsia="TimesNewRomanPSMT" w:hAnsi="TimesNewRomanPSMT"/>
          <w:color w:val="221F1F"/>
          <w:sz w:val="18"/>
        </w:rPr>
        <w:t xml:space="preserve">Insights and recommendations for recruitment and retention of low socio-economic parents with overweight children. </w:t>
      </w:r>
    </w:p>
    <w:p w14:paraId="10911C54" w14:textId="77777777" w:rsidR="00FA6DE4" w:rsidRDefault="00000000">
      <w:pPr>
        <w:tabs>
          <w:tab w:val="left" w:pos="478"/>
        </w:tabs>
        <w:autoSpaceDE w:val="0"/>
        <w:autoSpaceDN w:val="0"/>
        <w:spacing w:after="0" w:line="220" w:lineRule="exact"/>
        <w:ind w:left="158"/>
      </w:pPr>
      <w:r>
        <w:tab/>
      </w:r>
      <w:r>
        <w:rPr>
          <w:rFonts w:ascii="TimesNewRomanPS" w:eastAsia="TimesNewRomanPS" w:hAnsi="TimesNewRomanPS"/>
          <w:i/>
          <w:color w:val="221F1F"/>
          <w:sz w:val="18"/>
        </w:rPr>
        <w:t>International Journal of Social Research Methodology</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18</w:t>
      </w:r>
      <w:r>
        <w:rPr>
          <w:rFonts w:ascii="TimesNewRomanPSMT" w:eastAsia="TimesNewRomanPSMT" w:hAnsi="TimesNewRomanPSMT"/>
          <w:color w:val="221F1F"/>
          <w:sz w:val="18"/>
        </w:rPr>
        <w:t xml:space="preserve">(6), </w:t>
      </w:r>
      <w:r>
        <w:tab/>
      </w:r>
      <w:r>
        <w:rPr>
          <w:rFonts w:ascii="TimesNewRomanPSMT" w:eastAsia="TimesNewRomanPSMT" w:hAnsi="TimesNewRomanPSMT"/>
          <w:color w:val="221F1F"/>
          <w:sz w:val="18"/>
        </w:rPr>
        <w:t xml:space="preserve">617-633. </w:t>
      </w:r>
      <w:hyperlink r:id="rId52" w:history="1">
        <w:r>
          <w:rPr>
            <w:rFonts w:ascii="TimesNewRomanPSMT" w:eastAsia="TimesNewRomanPSMT" w:hAnsi="TimesNewRomanPSMT"/>
            <w:color w:val="221F1F"/>
            <w:sz w:val="18"/>
          </w:rPr>
          <w:t xml:space="preserve">https://doi.org/10.1080/13645579.2014.931201 </w:t>
        </w:r>
      </w:hyperlink>
      <w:r>
        <w:rPr>
          <w:rFonts w:ascii="TimesNewRomanPSMT" w:eastAsia="TimesNewRomanPSMT" w:hAnsi="TimesNewRomanPSMT"/>
          <w:color w:val="221F1F"/>
          <w:sz w:val="18"/>
        </w:rPr>
        <w:t xml:space="preserve">Pew Research Center. (2019, June 12). </w:t>
      </w:r>
      <w:r>
        <w:rPr>
          <w:rFonts w:ascii="TimesNewRomanPS" w:eastAsia="TimesNewRomanPS" w:hAnsi="TimesNewRomanPS"/>
          <w:i/>
          <w:color w:val="221F1F"/>
          <w:sz w:val="18"/>
        </w:rPr>
        <w:t>Mobile fact sheet</w:t>
      </w:r>
      <w:r>
        <w:rPr>
          <w:rFonts w:ascii="TimesNewRomanPSMT" w:eastAsia="TimesNewRomanPSMT" w:hAnsi="TimesNewRomanPSMT"/>
          <w:color w:val="221F1F"/>
          <w:sz w:val="18"/>
        </w:rPr>
        <w:t xml:space="preserve">. </w:t>
      </w:r>
      <w:hyperlink r:id="rId53" w:history="1">
        <w:r>
          <w:rPr>
            <w:rFonts w:ascii="TimesNewRomanPSMT" w:eastAsia="TimesNewRomanPSMT" w:hAnsi="TimesNewRomanPSMT"/>
            <w:color w:val="221F1F"/>
            <w:sz w:val="18"/>
          </w:rPr>
          <w:t xml:space="preserve">http:// </w:t>
        </w:r>
      </w:hyperlink>
      <w:r>
        <w:tab/>
      </w:r>
      <w:hyperlink r:id="rId54" w:history="1">
        <w:r>
          <w:rPr>
            <w:rFonts w:ascii="TimesNewRomanPSMT" w:eastAsia="TimesNewRomanPSMT" w:hAnsi="TimesNewRomanPSMT"/>
            <w:color w:val="221F1F"/>
            <w:sz w:val="18"/>
          </w:rPr>
          <w:t xml:space="preserve">www.pewinternet.org/fact-sheet/mobile/ </w:t>
        </w:r>
      </w:hyperlink>
      <w:r>
        <w:br/>
      </w:r>
      <w:r>
        <w:rPr>
          <w:rFonts w:ascii="TimesNewRomanPSMT" w:eastAsia="TimesNewRomanPSMT" w:hAnsi="TimesNewRomanPSMT"/>
          <w:color w:val="221F1F"/>
          <w:sz w:val="18"/>
        </w:rPr>
        <w:t xml:space="preserve">Probstfield, J. L., &amp; Frye, R. L. (2011). Strategies for recruitment </w:t>
      </w:r>
      <w:r>
        <w:tab/>
      </w:r>
      <w:r>
        <w:rPr>
          <w:rFonts w:ascii="TimesNewRomanPSMT" w:eastAsia="TimesNewRomanPSMT" w:hAnsi="TimesNewRomanPSMT"/>
          <w:color w:val="221F1F"/>
          <w:sz w:val="18"/>
        </w:rPr>
        <w:t xml:space="preserve">and retention of participants in clinical trials. </w:t>
      </w:r>
      <w:r>
        <w:rPr>
          <w:rFonts w:ascii="TimesNewRomanPS" w:eastAsia="TimesNewRomanPS" w:hAnsi="TimesNewRomanPS"/>
          <w:i/>
          <w:color w:val="221F1F"/>
          <w:sz w:val="18"/>
        </w:rPr>
        <w:t xml:space="preserve">JAMA Journal </w:t>
      </w:r>
      <w:r>
        <w:tab/>
      </w:r>
      <w:r>
        <w:rPr>
          <w:rFonts w:ascii="TimesNewRomanPS" w:eastAsia="TimesNewRomanPS" w:hAnsi="TimesNewRomanPS"/>
          <w:i/>
          <w:color w:val="221F1F"/>
          <w:sz w:val="18"/>
        </w:rPr>
        <w:t>of the American Medical Association</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306</w:t>
      </w:r>
      <w:r>
        <w:rPr>
          <w:rFonts w:ascii="TimesNewRomanPSMT" w:eastAsia="TimesNewRomanPSMT" w:hAnsi="TimesNewRomanPSMT"/>
          <w:color w:val="221F1F"/>
          <w:sz w:val="18"/>
        </w:rPr>
        <w:t xml:space="preserve">(16), 1798-1799. </w:t>
      </w:r>
    </w:p>
    <w:p w14:paraId="29F87219" w14:textId="77777777" w:rsidR="00FA6DE4" w:rsidRDefault="00000000">
      <w:pPr>
        <w:tabs>
          <w:tab w:val="left" w:pos="478"/>
        </w:tabs>
        <w:autoSpaceDE w:val="0"/>
        <w:autoSpaceDN w:val="0"/>
        <w:spacing w:after="16" w:line="220" w:lineRule="exact"/>
        <w:ind w:left="158"/>
      </w:pPr>
      <w:r>
        <w:tab/>
      </w:r>
      <w:hyperlink r:id="rId55" w:history="1">
        <w:r>
          <w:rPr>
            <w:rFonts w:ascii="TimesNewRomanPSMT" w:eastAsia="TimesNewRomanPSMT" w:hAnsi="TimesNewRomanPSMT"/>
            <w:color w:val="221F1F"/>
            <w:sz w:val="18"/>
          </w:rPr>
          <w:t xml:space="preserve">https://doi.org/10.1001/jama.2011.1544 </w:t>
        </w:r>
      </w:hyperlink>
      <w:r>
        <w:br/>
      </w:r>
      <w:r>
        <w:rPr>
          <w:rFonts w:ascii="TimesNewRomanPSMT" w:eastAsia="TimesNewRomanPSMT" w:hAnsi="TimesNewRomanPSMT"/>
          <w:color w:val="221F1F"/>
          <w:sz w:val="18"/>
        </w:rPr>
        <w:t>Reidy, M. C., Orpinas, P., &amp; Davis, M. (2012). Successful recruit-</w:t>
      </w:r>
      <w:r>
        <w:tab/>
      </w:r>
      <w:r>
        <w:rPr>
          <w:rFonts w:ascii="TimesNewRomanPSMT" w:eastAsia="TimesNewRomanPSMT" w:hAnsi="TimesNewRomanPSMT"/>
          <w:color w:val="221F1F"/>
          <w:sz w:val="18"/>
        </w:rPr>
        <w:t xml:space="preserve">ment and retention of Latino study participants. </w:t>
      </w:r>
      <w:r>
        <w:rPr>
          <w:rFonts w:ascii="TimesNewRomanPS" w:eastAsia="TimesNewRomanPS" w:hAnsi="TimesNewRomanPS"/>
          <w:i/>
          <w:color w:val="221F1F"/>
          <w:sz w:val="18"/>
        </w:rPr>
        <w:t xml:space="preserve">Health </w:t>
      </w:r>
      <w:r>
        <w:tab/>
      </w:r>
      <w:r>
        <w:rPr>
          <w:rFonts w:ascii="TimesNewRomanPS" w:eastAsia="TimesNewRomanPS" w:hAnsi="TimesNewRomanPS"/>
          <w:i/>
          <w:color w:val="221F1F"/>
          <w:sz w:val="18"/>
        </w:rPr>
        <w:t>Promotion Practice</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13</w:t>
      </w:r>
      <w:r>
        <w:rPr>
          <w:rFonts w:ascii="TimesNewRomanPSMT" w:eastAsia="TimesNewRomanPSMT" w:hAnsi="TimesNewRomanPSMT"/>
          <w:color w:val="221F1F"/>
          <w:sz w:val="18"/>
        </w:rPr>
        <w:t xml:space="preserve">(6), 779-787. </w:t>
      </w:r>
      <w:hyperlink r:id="rId56" w:history="1">
        <w:r>
          <w:rPr>
            <w:rFonts w:ascii="TimesNewRomanPSMT" w:eastAsia="TimesNewRomanPSMT" w:hAnsi="TimesNewRomanPSMT"/>
            <w:color w:val="221F1F"/>
            <w:sz w:val="18"/>
          </w:rPr>
          <w:t>https://doi.org/10.1177/</w:t>
        </w:r>
      </w:hyperlink>
      <w:r>
        <w:rPr>
          <w:rFonts w:ascii="TimesNewRomanPSMT" w:eastAsia="TimesNewRomanPSMT" w:hAnsi="TimesNewRomanPSMT"/>
          <w:color w:val="221F1F"/>
          <w:sz w:val="18"/>
        </w:rPr>
        <w:t xml:space="preserve"> </w:t>
      </w:r>
    </w:p>
    <w:p w14:paraId="3B3DE9AC" w14:textId="77777777" w:rsidR="00FA6DE4" w:rsidRDefault="00FA6DE4">
      <w:pPr>
        <w:sectPr w:rsidR="00FA6DE4">
          <w:type w:val="nextColumn"/>
          <w:pgSz w:w="12240" w:h="15840"/>
          <w:pgMar w:top="396" w:right="894" w:bottom="740" w:left="1258" w:header="720" w:footer="720" w:gutter="0"/>
          <w:cols w:num="2" w:space="720" w:equalWidth="0">
            <w:col w:w="5034" w:space="0"/>
            <w:col w:w="5053" w:space="0"/>
          </w:cols>
          <w:docGrid w:linePitch="360"/>
        </w:sectPr>
      </w:pPr>
    </w:p>
    <w:p w14:paraId="513A34FD" w14:textId="77777777" w:rsidR="00FA6DE4" w:rsidRDefault="00000000">
      <w:pPr>
        <w:tabs>
          <w:tab w:val="left" w:pos="5512"/>
        </w:tabs>
        <w:autoSpaceDE w:val="0"/>
        <w:autoSpaceDN w:val="0"/>
        <w:spacing w:after="20" w:line="198" w:lineRule="exact"/>
        <w:ind w:left="322"/>
      </w:pPr>
      <w:r>
        <w:rPr>
          <w:rFonts w:ascii="TimesNewRomanPSMT" w:eastAsia="TimesNewRomanPSMT" w:hAnsi="TimesNewRomanPSMT"/>
          <w:color w:val="221F1F"/>
          <w:sz w:val="18"/>
        </w:rPr>
        <w:t xml:space="preserve">recruitment. </w:t>
      </w:r>
      <w:r>
        <w:rPr>
          <w:rFonts w:ascii="TimesNewRomanPS" w:eastAsia="TimesNewRomanPS" w:hAnsi="TimesNewRomanPS"/>
          <w:i/>
          <w:color w:val="221F1F"/>
          <w:sz w:val="18"/>
        </w:rPr>
        <w:t>Computers in Human Behavior, 60</w:t>
      </w:r>
      <w:r>
        <w:rPr>
          <w:rFonts w:ascii="TimesNewRomanPSMT" w:eastAsia="TimesNewRomanPSMT" w:hAnsi="TimesNewRomanPSMT"/>
          <w:color w:val="221F1F"/>
          <w:sz w:val="18"/>
        </w:rPr>
        <w:t xml:space="preserve">(July), 86-96. </w:t>
      </w:r>
      <w:r>
        <w:tab/>
      </w:r>
      <w:hyperlink r:id="rId57" w:history="1">
        <w:r>
          <w:rPr>
            <w:rFonts w:ascii="TimesNewRomanPSMT" w:eastAsia="TimesNewRomanPSMT" w:hAnsi="TimesNewRomanPSMT"/>
            <w:color w:val="221F1F"/>
            <w:sz w:val="18"/>
          </w:rPr>
          <w:t>1524839911405842</w:t>
        </w:r>
      </w:hyperlink>
    </w:p>
    <w:p w14:paraId="410FAF04" w14:textId="77777777" w:rsidR="00FA6DE4" w:rsidRDefault="00FA6DE4">
      <w:pPr>
        <w:sectPr w:rsidR="00FA6DE4">
          <w:type w:val="continuous"/>
          <w:pgSz w:w="12240" w:h="15840"/>
          <w:pgMar w:top="396" w:right="894" w:bottom="740" w:left="1258" w:header="720" w:footer="720" w:gutter="0"/>
          <w:cols w:space="720" w:equalWidth="0">
            <w:col w:w="10088" w:space="0"/>
          </w:cols>
          <w:docGrid w:linePitch="360"/>
        </w:sectPr>
      </w:pPr>
    </w:p>
    <w:p w14:paraId="11BA15E1" w14:textId="77777777" w:rsidR="00FA6DE4" w:rsidRDefault="00000000">
      <w:pPr>
        <w:tabs>
          <w:tab w:val="left" w:pos="322"/>
        </w:tabs>
        <w:autoSpaceDE w:val="0"/>
        <w:autoSpaceDN w:val="0"/>
        <w:spacing w:after="0" w:line="216" w:lineRule="exact"/>
        <w:ind w:left="2" w:right="144"/>
      </w:pPr>
      <w:r>
        <w:tab/>
      </w:r>
      <w:hyperlink r:id="rId58" w:history="1">
        <w:r>
          <w:rPr>
            <w:rFonts w:ascii="TimesNewRomanPSMT" w:eastAsia="TimesNewRomanPSMT" w:hAnsi="TimesNewRomanPSMT"/>
            <w:color w:val="221F1F"/>
            <w:sz w:val="18"/>
          </w:rPr>
          <w:t xml:space="preserve">https://doi.org/10.1016/j.chb.2016.02.006 </w:t>
        </w:r>
      </w:hyperlink>
      <w:r>
        <w:br/>
      </w:r>
      <w:r>
        <w:rPr>
          <w:rFonts w:ascii="TimesNewRomanPSMT" w:eastAsia="TimesNewRomanPSMT" w:hAnsi="TimesNewRomanPSMT"/>
          <w:color w:val="221F1F"/>
          <w:sz w:val="18"/>
        </w:rPr>
        <w:t>Henrich, J., Heine, S. J., &amp; Norenzayan, A. (2010). The weirdest peo-</w:t>
      </w:r>
      <w:r>
        <w:tab/>
      </w:r>
      <w:r>
        <w:rPr>
          <w:rFonts w:ascii="TimesNewRomanPSMT" w:eastAsia="TimesNewRomanPSMT" w:hAnsi="TimesNewRomanPSMT"/>
          <w:color w:val="221F1F"/>
          <w:sz w:val="18"/>
        </w:rPr>
        <w:t xml:space="preserve">ple in the world? </w:t>
      </w:r>
      <w:r>
        <w:rPr>
          <w:rFonts w:ascii="TimesNewRomanPS" w:eastAsia="TimesNewRomanPS" w:hAnsi="TimesNewRomanPS"/>
          <w:i/>
          <w:color w:val="221F1F"/>
          <w:sz w:val="18"/>
        </w:rPr>
        <w:t>Behavioral and Brain Sciences, 33</w:t>
      </w:r>
      <w:r>
        <w:rPr>
          <w:rFonts w:ascii="TimesNewRomanPSMT" w:eastAsia="TimesNewRomanPSMT" w:hAnsi="TimesNewRomanPSMT"/>
          <w:color w:val="221F1F"/>
          <w:sz w:val="18"/>
        </w:rPr>
        <w:t xml:space="preserve">(2-3), 61-135. Karlson, C. W., &amp; Rapoff, M. A. (2009). Attrition in randomized </w:t>
      </w:r>
      <w:r>
        <w:tab/>
      </w:r>
      <w:r>
        <w:rPr>
          <w:rFonts w:ascii="TimesNewRomanPSMT" w:eastAsia="TimesNewRomanPSMT" w:hAnsi="TimesNewRomanPSMT"/>
          <w:color w:val="221F1F"/>
          <w:sz w:val="18"/>
        </w:rPr>
        <w:t xml:space="preserve">controlled trials for pediatric chronic conditions. </w:t>
      </w:r>
      <w:r>
        <w:rPr>
          <w:rFonts w:ascii="TimesNewRomanPS" w:eastAsia="TimesNewRomanPS" w:hAnsi="TimesNewRomanPS"/>
          <w:i/>
          <w:color w:val="221F1F"/>
          <w:sz w:val="18"/>
        </w:rPr>
        <w:t xml:space="preserve">Journal of </w:t>
      </w:r>
      <w:r>
        <w:tab/>
      </w:r>
      <w:r>
        <w:rPr>
          <w:rFonts w:ascii="TimesNewRomanPS" w:eastAsia="TimesNewRomanPS" w:hAnsi="TimesNewRomanPS"/>
          <w:i/>
          <w:color w:val="221F1F"/>
          <w:sz w:val="18"/>
        </w:rPr>
        <w:t>Pediatric Psychology</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34</w:t>
      </w:r>
      <w:r>
        <w:rPr>
          <w:rFonts w:ascii="TimesNewRomanPSMT" w:eastAsia="TimesNewRomanPSMT" w:hAnsi="TimesNewRomanPSMT"/>
          <w:color w:val="221F1F"/>
          <w:sz w:val="18"/>
        </w:rPr>
        <w:t xml:space="preserve">(7), 782-793. </w:t>
      </w:r>
      <w:hyperlink r:id="rId59" w:history="1">
        <w:r>
          <w:rPr>
            <w:rFonts w:ascii="TimesNewRomanPSMT" w:eastAsia="TimesNewRomanPSMT" w:hAnsi="TimesNewRomanPSMT"/>
            <w:color w:val="221F1F"/>
            <w:sz w:val="18"/>
          </w:rPr>
          <w:t>https://doi.org/10.1093/</w:t>
        </w:r>
      </w:hyperlink>
    </w:p>
    <w:p w14:paraId="2AE62205" w14:textId="77777777" w:rsidR="00FA6DE4" w:rsidRDefault="00FA6DE4">
      <w:pPr>
        <w:sectPr w:rsidR="00FA6DE4">
          <w:type w:val="continuous"/>
          <w:pgSz w:w="12240" w:h="15840"/>
          <w:pgMar w:top="396" w:right="894" w:bottom="740" w:left="1258" w:header="720" w:footer="720" w:gutter="0"/>
          <w:cols w:num="2" w:space="720" w:equalWidth="0">
            <w:col w:w="5034" w:space="0"/>
            <w:col w:w="5053" w:space="0"/>
          </w:cols>
          <w:docGrid w:linePitch="360"/>
        </w:sectPr>
      </w:pPr>
    </w:p>
    <w:p w14:paraId="59B3E604" w14:textId="77777777" w:rsidR="00FA6DE4" w:rsidRDefault="00000000">
      <w:pPr>
        <w:autoSpaceDE w:val="0"/>
        <w:autoSpaceDN w:val="0"/>
        <w:spacing w:after="0" w:line="210" w:lineRule="exact"/>
        <w:ind w:left="478" w:hanging="320"/>
      </w:pPr>
      <w:r>
        <w:rPr>
          <w:rFonts w:ascii="TimesNewRomanPSMT" w:eastAsia="TimesNewRomanPSMT" w:hAnsi="TimesNewRomanPSMT"/>
          <w:color w:val="221F1F"/>
          <w:sz w:val="18"/>
        </w:rPr>
        <w:t xml:space="preserve">Savage, E., &amp; McCarron, S. (2009). Research access to adolescents and young adults. </w:t>
      </w:r>
      <w:r>
        <w:rPr>
          <w:rFonts w:ascii="TimesNewRomanPS" w:eastAsia="TimesNewRomanPS" w:hAnsi="TimesNewRomanPS"/>
          <w:i/>
          <w:color w:val="221F1F"/>
          <w:sz w:val="18"/>
        </w:rPr>
        <w:t>Applied Nursing Research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22</w:t>
      </w:r>
      <w:r>
        <w:rPr>
          <w:rFonts w:ascii="TimesNewRomanPSMT" w:eastAsia="TimesNewRomanPSMT" w:hAnsi="TimesNewRomanPSMT"/>
          <w:color w:val="221F1F"/>
          <w:sz w:val="18"/>
        </w:rPr>
        <w:t xml:space="preserve">(1), 63-67. </w:t>
      </w:r>
    </w:p>
    <w:p w14:paraId="658C1D3D" w14:textId="77777777" w:rsidR="00FA6DE4" w:rsidRDefault="00000000">
      <w:pPr>
        <w:tabs>
          <w:tab w:val="left" w:pos="478"/>
        </w:tabs>
        <w:autoSpaceDE w:val="0"/>
        <w:autoSpaceDN w:val="0"/>
        <w:spacing w:after="0" w:line="220" w:lineRule="exact"/>
        <w:ind w:left="158"/>
      </w:pPr>
      <w:r>
        <w:tab/>
      </w:r>
      <w:hyperlink r:id="rId60" w:history="1">
        <w:r>
          <w:rPr>
            <w:rFonts w:ascii="TimesNewRomanPSMT" w:eastAsia="TimesNewRomanPSMT" w:hAnsi="TimesNewRomanPSMT"/>
            <w:color w:val="221F1F"/>
            <w:sz w:val="18"/>
          </w:rPr>
          <w:t xml:space="preserve">https://doi.org/10.1016/j.apnr.2007.03.003 </w:t>
        </w:r>
      </w:hyperlink>
      <w:r>
        <w:br/>
      </w:r>
      <w:r>
        <w:rPr>
          <w:rFonts w:ascii="TimesNewRomanPSMT" w:eastAsia="TimesNewRomanPSMT" w:hAnsi="TimesNewRomanPSMT"/>
          <w:color w:val="221F1F"/>
          <w:sz w:val="18"/>
        </w:rPr>
        <w:t xml:space="preserve">Schoeppe, S., Oliver, M., Badland, H. M., Burke, M., &amp; Duncan, M. </w:t>
      </w:r>
    </w:p>
    <w:p w14:paraId="4B4A9BAE" w14:textId="77777777" w:rsidR="00FA6DE4" w:rsidRDefault="00000000">
      <w:pPr>
        <w:autoSpaceDE w:val="0"/>
        <w:autoSpaceDN w:val="0"/>
        <w:spacing w:after="20" w:line="220" w:lineRule="exact"/>
        <w:ind w:left="478"/>
      </w:pPr>
      <w:r>
        <w:rPr>
          <w:rFonts w:ascii="TimesNewRomanPSMT" w:eastAsia="TimesNewRomanPSMT" w:hAnsi="TimesNewRomanPSMT"/>
          <w:color w:val="221F1F"/>
          <w:sz w:val="18"/>
        </w:rPr>
        <w:t xml:space="preserve">J. (2014). Recruitment and retention of children in behavioral health risk factor studies: REACH strategies. </w:t>
      </w:r>
      <w:r>
        <w:rPr>
          <w:rFonts w:ascii="TimesNewRomanPS" w:eastAsia="TimesNewRomanPS" w:hAnsi="TimesNewRomanPS"/>
          <w:i/>
          <w:color w:val="221F1F"/>
          <w:sz w:val="18"/>
        </w:rPr>
        <w:t xml:space="preserve">International </w:t>
      </w:r>
    </w:p>
    <w:p w14:paraId="084338FB" w14:textId="77777777" w:rsidR="00FA6DE4" w:rsidRDefault="00FA6DE4">
      <w:pPr>
        <w:sectPr w:rsidR="00FA6DE4">
          <w:type w:val="nextColumn"/>
          <w:pgSz w:w="12240" w:h="15840"/>
          <w:pgMar w:top="396" w:right="894" w:bottom="740" w:left="1258" w:header="720" w:footer="720" w:gutter="0"/>
          <w:cols w:num="2" w:space="720" w:equalWidth="0">
            <w:col w:w="5034" w:space="0"/>
            <w:col w:w="5053" w:space="0"/>
          </w:cols>
          <w:docGrid w:linePitch="360"/>
        </w:sectPr>
      </w:pPr>
    </w:p>
    <w:p w14:paraId="15EDB5B3" w14:textId="77777777" w:rsidR="00FA6DE4" w:rsidRDefault="00000000">
      <w:pPr>
        <w:tabs>
          <w:tab w:val="left" w:pos="5512"/>
        </w:tabs>
        <w:autoSpaceDE w:val="0"/>
        <w:autoSpaceDN w:val="0"/>
        <w:spacing w:after="20" w:line="198" w:lineRule="exact"/>
        <w:ind w:left="322"/>
      </w:pPr>
      <w:hyperlink r:id="rId61" w:history="1">
        <w:r>
          <w:rPr>
            <w:rFonts w:ascii="TimesNewRomanPSMT" w:eastAsia="TimesNewRomanPSMT" w:hAnsi="TimesNewRomanPSMT"/>
            <w:color w:val="221F1F"/>
            <w:sz w:val="18"/>
          </w:rPr>
          <w:t xml:space="preserve">jpepsy/jsn122 </w:t>
        </w:r>
      </w:hyperlink>
      <w:r>
        <w:tab/>
      </w:r>
      <w:r>
        <w:rPr>
          <w:rFonts w:ascii="TimesNewRomanPS" w:eastAsia="TimesNewRomanPS" w:hAnsi="TimesNewRomanPS"/>
          <w:i/>
          <w:color w:val="221F1F"/>
          <w:sz w:val="18"/>
        </w:rPr>
        <w:t>Journal of Behavioral Medicine</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21</w:t>
      </w:r>
      <w:r>
        <w:rPr>
          <w:rFonts w:ascii="TimesNewRomanPSMT" w:eastAsia="TimesNewRomanPSMT" w:hAnsi="TimesNewRomanPSMT"/>
          <w:color w:val="221F1F"/>
          <w:sz w:val="18"/>
        </w:rPr>
        <w:t xml:space="preserve">(5), 794-803. </w:t>
      </w:r>
      <w:hyperlink r:id="rId62" w:history="1">
        <w:r>
          <w:rPr>
            <w:rFonts w:ascii="TimesNewRomanPSMT" w:eastAsia="TimesNewRomanPSMT" w:hAnsi="TimesNewRomanPSMT"/>
            <w:color w:val="221F1F"/>
            <w:sz w:val="18"/>
          </w:rPr>
          <w:t>https://doi.</w:t>
        </w:r>
      </w:hyperlink>
    </w:p>
    <w:p w14:paraId="5B605690" w14:textId="77777777" w:rsidR="00FA6DE4" w:rsidRDefault="00FA6DE4">
      <w:pPr>
        <w:sectPr w:rsidR="00FA6DE4">
          <w:type w:val="continuous"/>
          <w:pgSz w:w="12240" w:h="15840"/>
          <w:pgMar w:top="396" w:right="894" w:bottom="740" w:left="1258" w:header="720" w:footer="720" w:gutter="0"/>
          <w:cols w:space="720" w:equalWidth="0">
            <w:col w:w="10088" w:space="0"/>
          </w:cols>
          <w:docGrid w:linePitch="360"/>
        </w:sectPr>
      </w:pPr>
    </w:p>
    <w:p w14:paraId="19E5B78B" w14:textId="77777777" w:rsidR="00FA6DE4" w:rsidRDefault="00000000">
      <w:pPr>
        <w:tabs>
          <w:tab w:val="left" w:pos="322"/>
        </w:tabs>
        <w:autoSpaceDE w:val="0"/>
        <w:autoSpaceDN w:val="0"/>
        <w:spacing w:after="0" w:line="216" w:lineRule="exact"/>
        <w:ind w:left="2" w:right="144"/>
      </w:pPr>
      <w:r>
        <w:rPr>
          <w:rFonts w:ascii="TimesNewRomanPSMT" w:eastAsia="TimesNewRomanPSMT" w:hAnsi="TimesNewRomanPSMT"/>
          <w:color w:val="221F1F"/>
          <w:sz w:val="18"/>
        </w:rPr>
        <w:t xml:space="preserve">Lamb, J., Puskar, K. R., &amp; Tusaie-Mumford, K. (2001). Adolescent </w:t>
      </w:r>
      <w:r>
        <w:tab/>
      </w:r>
      <w:r>
        <w:rPr>
          <w:rFonts w:ascii="TimesNewRomanPSMT" w:eastAsia="TimesNewRomanPSMT" w:hAnsi="TimesNewRomanPSMT"/>
          <w:color w:val="221F1F"/>
          <w:sz w:val="18"/>
        </w:rPr>
        <w:t xml:space="preserve">research recruitment issues and strategies: Application in a </w:t>
      </w:r>
      <w:r>
        <w:tab/>
      </w:r>
      <w:r>
        <w:rPr>
          <w:rFonts w:ascii="TimesNewRomanPSMT" w:eastAsia="TimesNewRomanPSMT" w:hAnsi="TimesNewRomanPSMT"/>
          <w:color w:val="221F1F"/>
          <w:sz w:val="18"/>
        </w:rPr>
        <w:t xml:space="preserve">rural school setting. </w:t>
      </w:r>
      <w:r>
        <w:rPr>
          <w:rFonts w:ascii="TimesNewRomanPS" w:eastAsia="TimesNewRomanPS" w:hAnsi="TimesNewRomanPS"/>
          <w:i/>
          <w:color w:val="221F1F"/>
          <w:sz w:val="18"/>
        </w:rPr>
        <w:t>Journal of Pediatric Nursing</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16</w:t>
      </w:r>
      <w:r>
        <w:rPr>
          <w:rFonts w:ascii="TimesNewRomanPSMT" w:eastAsia="TimesNewRomanPSMT" w:hAnsi="TimesNewRomanPSMT"/>
          <w:color w:val="221F1F"/>
          <w:sz w:val="18"/>
        </w:rPr>
        <w:t>(1), 43-</w:t>
      </w:r>
      <w:r>
        <w:tab/>
      </w:r>
      <w:r>
        <w:rPr>
          <w:rFonts w:ascii="TimesNewRomanPSMT" w:eastAsia="TimesNewRomanPSMT" w:hAnsi="TimesNewRomanPSMT"/>
          <w:color w:val="221F1F"/>
          <w:sz w:val="18"/>
        </w:rPr>
        <w:t xml:space="preserve">52. </w:t>
      </w:r>
      <w:hyperlink r:id="rId63" w:history="1">
        <w:r>
          <w:rPr>
            <w:rFonts w:ascii="TimesNewRomanPSMT" w:eastAsia="TimesNewRomanPSMT" w:hAnsi="TimesNewRomanPSMT"/>
            <w:color w:val="221F1F"/>
            <w:sz w:val="18"/>
          </w:rPr>
          <w:t xml:space="preserve">https://doi.org/10.1053/jpdn.2001.20552 </w:t>
        </w:r>
      </w:hyperlink>
      <w:r>
        <w:br/>
      </w:r>
      <w:r>
        <w:rPr>
          <w:rFonts w:ascii="TimesNewRomanPSMT" w:eastAsia="TimesNewRomanPSMT" w:hAnsi="TimesNewRomanPSMT"/>
          <w:color w:val="221F1F"/>
          <w:sz w:val="18"/>
        </w:rPr>
        <w:t xml:space="preserve">National Institutes of Health. (2017). </w:t>
      </w:r>
      <w:r>
        <w:rPr>
          <w:rFonts w:ascii="TimesNewRomanPS" w:eastAsia="TimesNewRomanPS" w:hAnsi="TimesNewRomanPS"/>
          <w:i/>
          <w:color w:val="221F1F"/>
          <w:sz w:val="18"/>
        </w:rPr>
        <w:t xml:space="preserve">NIH policy and guidelines on </w:t>
      </w:r>
      <w:r>
        <w:tab/>
      </w:r>
      <w:r>
        <w:rPr>
          <w:rFonts w:ascii="TimesNewRomanPS" w:eastAsia="TimesNewRomanPS" w:hAnsi="TimesNewRomanPS"/>
          <w:i/>
          <w:color w:val="221F1F"/>
          <w:sz w:val="18"/>
        </w:rPr>
        <w:t xml:space="preserve">the inclusion of women and minorities as subjects in clinical </w:t>
      </w:r>
      <w:r>
        <w:tab/>
      </w:r>
      <w:r>
        <w:rPr>
          <w:rFonts w:ascii="TimesNewRomanPS" w:eastAsia="TimesNewRomanPS" w:hAnsi="TimesNewRomanPS"/>
          <w:i/>
          <w:color w:val="221F1F"/>
          <w:sz w:val="18"/>
        </w:rPr>
        <w:t>research</w:t>
      </w:r>
      <w:r>
        <w:rPr>
          <w:rFonts w:ascii="TimesNewRomanPSMT" w:eastAsia="TimesNewRomanPSMT" w:hAnsi="TimesNewRomanPSMT"/>
          <w:color w:val="221F1F"/>
          <w:sz w:val="18"/>
        </w:rPr>
        <w:t xml:space="preserve">. </w:t>
      </w:r>
      <w:hyperlink r:id="rId64" w:history="1">
        <w:r>
          <w:rPr>
            <w:rFonts w:ascii="TimesNewRomanPSMT" w:eastAsia="TimesNewRomanPSMT" w:hAnsi="TimesNewRomanPSMT"/>
            <w:color w:val="221F1F"/>
            <w:sz w:val="18"/>
          </w:rPr>
          <w:t>https://grants.nih.gov/grants/funding/women_min/</w:t>
        </w:r>
      </w:hyperlink>
    </w:p>
    <w:p w14:paraId="1CBF122F" w14:textId="77777777" w:rsidR="00FA6DE4" w:rsidRDefault="00FA6DE4">
      <w:pPr>
        <w:sectPr w:rsidR="00FA6DE4">
          <w:type w:val="continuous"/>
          <w:pgSz w:w="12240" w:h="15840"/>
          <w:pgMar w:top="396" w:right="894" w:bottom="740" w:left="1258" w:header="720" w:footer="720" w:gutter="0"/>
          <w:cols w:num="2" w:space="720" w:equalWidth="0">
            <w:col w:w="5034" w:space="0"/>
            <w:col w:w="5053" w:space="0"/>
          </w:cols>
          <w:docGrid w:linePitch="360"/>
        </w:sectPr>
      </w:pPr>
    </w:p>
    <w:p w14:paraId="692961E0" w14:textId="77777777" w:rsidR="00FA6DE4" w:rsidRDefault="00000000">
      <w:pPr>
        <w:tabs>
          <w:tab w:val="left" w:pos="478"/>
        </w:tabs>
        <w:autoSpaceDE w:val="0"/>
        <w:autoSpaceDN w:val="0"/>
        <w:spacing w:after="0" w:line="214" w:lineRule="exact"/>
        <w:ind w:left="158"/>
      </w:pPr>
      <w:r>
        <w:tab/>
      </w:r>
      <w:hyperlink r:id="rId65" w:history="1">
        <w:r>
          <w:rPr>
            <w:rFonts w:ascii="TimesNewRomanPSMT" w:eastAsia="TimesNewRomanPSMT" w:hAnsi="TimesNewRomanPSMT"/>
            <w:color w:val="221F1F"/>
            <w:sz w:val="18"/>
          </w:rPr>
          <w:t xml:space="preserve">org/10.1007/s12529-013-9347-5 </w:t>
        </w:r>
      </w:hyperlink>
      <w:r>
        <w:br/>
      </w:r>
      <w:r>
        <w:rPr>
          <w:rFonts w:ascii="TimesNewRomanPSMT" w:eastAsia="TimesNewRomanPSMT" w:hAnsi="TimesNewRomanPSMT"/>
          <w:color w:val="221F1F"/>
          <w:sz w:val="18"/>
        </w:rPr>
        <w:t xml:space="preserve">Smith, A. B., Agar, M., Delaney, G., Descallar, J., Dobell-Brown, </w:t>
      </w:r>
      <w:r>
        <w:tab/>
      </w:r>
      <w:r>
        <w:rPr>
          <w:rFonts w:ascii="TimesNewRomanPSMT" w:eastAsia="TimesNewRomanPSMT" w:hAnsi="TimesNewRomanPSMT"/>
          <w:color w:val="221F1F"/>
          <w:sz w:val="18"/>
        </w:rPr>
        <w:t xml:space="preserve">K., Grand, M., Aung, J., Patel, P., Kaadan, N., &amp; Girgis, A. </w:t>
      </w:r>
    </w:p>
    <w:p w14:paraId="739CAF2E" w14:textId="77777777" w:rsidR="00FA6DE4" w:rsidRDefault="00000000">
      <w:pPr>
        <w:autoSpaceDE w:val="0"/>
        <w:autoSpaceDN w:val="0"/>
        <w:spacing w:after="16" w:line="220" w:lineRule="exact"/>
        <w:ind w:left="478"/>
      </w:pPr>
      <w:r>
        <w:rPr>
          <w:rFonts w:ascii="TimesNewRomanPSMT" w:eastAsia="TimesNewRomanPSMT" w:hAnsi="TimesNewRomanPSMT"/>
          <w:color w:val="221F1F"/>
          <w:sz w:val="18"/>
        </w:rPr>
        <w:t xml:space="preserve">(2018). Lower trial participation by culturally and linguisti-cally diverse (CALD) cancer patients is largely due to language barriers. </w:t>
      </w:r>
      <w:r>
        <w:rPr>
          <w:rFonts w:ascii="TimesNewRomanPS" w:eastAsia="TimesNewRomanPS" w:hAnsi="TimesNewRomanPS"/>
          <w:i/>
          <w:color w:val="221F1F"/>
          <w:sz w:val="18"/>
        </w:rPr>
        <w:t>Asia-Pacific Journal of Clinical Oncology</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14</w:t>
      </w:r>
      <w:r>
        <w:rPr>
          <w:rFonts w:ascii="TimesNewRomanPSMT" w:eastAsia="TimesNewRomanPSMT" w:hAnsi="TimesNewRomanPSMT"/>
          <w:color w:val="221F1F"/>
          <w:sz w:val="18"/>
        </w:rPr>
        <w:t xml:space="preserve">(1), 52-60. </w:t>
      </w:r>
      <w:hyperlink r:id="rId66" w:history="1">
        <w:r>
          <w:rPr>
            <w:rFonts w:ascii="TimesNewRomanPSMT" w:eastAsia="TimesNewRomanPSMT" w:hAnsi="TimesNewRomanPSMT"/>
            <w:color w:val="221F1F"/>
            <w:sz w:val="18"/>
          </w:rPr>
          <w:t>https://doi.org/10.1111/ajco.12818</w:t>
        </w:r>
      </w:hyperlink>
    </w:p>
    <w:p w14:paraId="5CF96BA0" w14:textId="77777777" w:rsidR="00FA6DE4" w:rsidRDefault="00FA6DE4">
      <w:pPr>
        <w:sectPr w:rsidR="00FA6DE4">
          <w:type w:val="nextColumn"/>
          <w:pgSz w:w="12240" w:h="15840"/>
          <w:pgMar w:top="396" w:right="894" w:bottom="740" w:left="1258" w:header="720" w:footer="720" w:gutter="0"/>
          <w:cols w:num="2" w:space="720" w:equalWidth="0">
            <w:col w:w="5034" w:space="0"/>
            <w:col w:w="5053" w:space="0"/>
          </w:cols>
          <w:docGrid w:linePitch="360"/>
        </w:sectPr>
      </w:pPr>
    </w:p>
    <w:p w14:paraId="67A2B2F6" w14:textId="77777777" w:rsidR="00FA6DE4" w:rsidRDefault="00000000">
      <w:pPr>
        <w:tabs>
          <w:tab w:val="left" w:pos="5192"/>
        </w:tabs>
        <w:autoSpaceDE w:val="0"/>
        <w:autoSpaceDN w:val="0"/>
        <w:spacing w:after="18" w:line="200" w:lineRule="exact"/>
        <w:ind w:left="322"/>
      </w:pPr>
      <w:hyperlink r:id="rId67" w:history="1">
        <w:r>
          <w:rPr>
            <w:rFonts w:ascii="TimesNewRomanPSMT" w:eastAsia="TimesNewRomanPSMT" w:hAnsi="TimesNewRomanPSMT"/>
            <w:color w:val="221F1F"/>
            <w:sz w:val="18"/>
          </w:rPr>
          <w:t xml:space="preserve">guidelines.htm </w:t>
        </w:r>
      </w:hyperlink>
      <w:r>
        <w:tab/>
      </w:r>
      <w:r>
        <w:rPr>
          <w:rFonts w:ascii="TimesNewRomanPSMT" w:eastAsia="TimesNewRomanPSMT" w:hAnsi="TimesNewRomanPSMT"/>
          <w:color w:val="221F1F"/>
          <w:sz w:val="18"/>
        </w:rPr>
        <w:t xml:space="preserve">Staffileno, B. A., &amp; Coke, L. A. (2006). Recruiting and retaining young, </w:t>
      </w:r>
    </w:p>
    <w:p w14:paraId="67B87F66" w14:textId="77777777" w:rsidR="00FA6DE4" w:rsidRDefault="00FA6DE4">
      <w:pPr>
        <w:sectPr w:rsidR="00FA6DE4">
          <w:type w:val="continuous"/>
          <w:pgSz w:w="12240" w:h="15840"/>
          <w:pgMar w:top="396" w:right="894" w:bottom="740" w:left="1258" w:header="720" w:footer="720" w:gutter="0"/>
          <w:cols w:space="720" w:equalWidth="0">
            <w:col w:w="10088" w:space="0"/>
          </w:cols>
          <w:docGrid w:linePitch="360"/>
        </w:sectPr>
      </w:pPr>
    </w:p>
    <w:p w14:paraId="2BFC6BCF" w14:textId="77777777" w:rsidR="00FA6DE4" w:rsidRDefault="00000000">
      <w:pPr>
        <w:autoSpaceDE w:val="0"/>
        <w:autoSpaceDN w:val="0"/>
        <w:spacing w:after="0" w:line="214" w:lineRule="exact"/>
        <w:ind w:left="322" w:right="316" w:hanging="320"/>
        <w:jc w:val="both"/>
      </w:pPr>
      <w:r>
        <w:rPr>
          <w:rFonts w:ascii="TimesNewRomanPSMT" w:eastAsia="TimesNewRomanPSMT" w:hAnsi="TimesNewRomanPSMT"/>
          <w:color w:val="221F1F"/>
          <w:sz w:val="18"/>
        </w:rPr>
        <w:t xml:space="preserve">Nicholson, L. M., Schwirian, P. M., Klein, E. G., Skybo, T., Murray-Johnson, L., Eneli, I., Boettner, B., French, G. M., &amp; Groner, J. A. (2011). Recruitment and retention strategies </w:t>
      </w:r>
    </w:p>
    <w:p w14:paraId="0DC0B26E" w14:textId="77777777" w:rsidR="00FA6DE4" w:rsidRDefault="00FA6DE4">
      <w:pPr>
        <w:sectPr w:rsidR="00FA6DE4">
          <w:type w:val="continuous"/>
          <w:pgSz w:w="12240" w:h="15840"/>
          <w:pgMar w:top="396" w:right="894" w:bottom="740" w:left="1258" w:header="720" w:footer="720" w:gutter="0"/>
          <w:cols w:num="2" w:space="720" w:equalWidth="0">
            <w:col w:w="5194" w:space="0"/>
            <w:col w:w="4893" w:space="0"/>
          </w:cols>
          <w:docGrid w:linePitch="360"/>
        </w:sectPr>
      </w:pPr>
    </w:p>
    <w:p w14:paraId="3489CB5A" w14:textId="77777777" w:rsidR="00FA6DE4" w:rsidRDefault="00000000">
      <w:pPr>
        <w:autoSpaceDE w:val="0"/>
        <w:autoSpaceDN w:val="0"/>
        <w:spacing w:after="16" w:line="214" w:lineRule="exact"/>
        <w:ind w:left="318" w:right="20"/>
        <w:jc w:val="both"/>
      </w:pPr>
      <w:r>
        <w:rPr>
          <w:rFonts w:ascii="TimesNewRomanPSMT" w:eastAsia="TimesNewRomanPSMT" w:hAnsi="TimesNewRomanPSMT"/>
          <w:color w:val="221F1F"/>
          <w:sz w:val="18"/>
        </w:rPr>
        <w:t xml:space="preserve">sedentary, hypertension-prone African American women in a physical activity intervention study. </w:t>
      </w:r>
      <w:r>
        <w:rPr>
          <w:rFonts w:ascii="TimesNewRomanPS" w:eastAsia="TimesNewRomanPS" w:hAnsi="TimesNewRomanPS"/>
          <w:i/>
          <w:color w:val="221F1F"/>
          <w:sz w:val="18"/>
        </w:rPr>
        <w:t>Journal of Cardiovascular Nursing</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21</w:t>
      </w:r>
      <w:r>
        <w:rPr>
          <w:rFonts w:ascii="TimesNewRomanPSMT" w:eastAsia="TimesNewRomanPSMT" w:hAnsi="TimesNewRomanPSMT"/>
          <w:color w:val="221F1F"/>
          <w:sz w:val="18"/>
        </w:rPr>
        <w:t xml:space="preserve">(3), 208-216. </w:t>
      </w:r>
      <w:hyperlink r:id="rId68" w:history="1">
        <w:r>
          <w:rPr>
            <w:rFonts w:ascii="TimesNewRomanPSMT" w:eastAsia="TimesNewRomanPSMT" w:hAnsi="TimesNewRomanPSMT"/>
            <w:color w:val="221F1F"/>
            <w:sz w:val="18"/>
          </w:rPr>
          <w:t>https://doi.org/10.1097/00005082-</w:t>
        </w:r>
      </w:hyperlink>
    </w:p>
    <w:p w14:paraId="254B07AD" w14:textId="77777777" w:rsidR="00FA6DE4" w:rsidRDefault="00FA6DE4">
      <w:pPr>
        <w:sectPr w:rsidR="00FA6DE4">
          <w:type w:val="nextColumn"/>
          <w:pgSz w:w="12240" w:h="15840"/>
          <w:pgMar w:top="396" w:right="894" w:bottom="740" w:left="1258" w:header="720" w:footer="720" w:gutter="0"/>
          <w:cols w:num="2" w:space="720" w:equalWidth="0">
            <w:col w:w="5194" w:space="0"/>
            <w:col w:w="4893" w:space="0"/>
          </w:cols>
          <w:docGrid w:linePitch="360"/>
        </w:sectPr>
      </w:pPr>
    </w:p>
    <w:p w14:paraId="4A72325E" w14:textId="77777777" w:rsidR="00FA6DE4" w:rsidRDefault="00000000">
      <w:pPr>
        <w:tabs>
          <w:tab w:val="left" w:pos="5512"/>
        </w:tabs>
        <w:autoSpaceDE w:val="0"/>
        <w:autoSpaceDN w:val="0"/>
        <w:spacing w:after="18" w:line="200" w:lineRule="exact"/>
        <w:ind w:left="322"/>
      </w:pPr>
      <w:r>
        <w:rPr>
          <w:rFonts w:ascii="TimesNewRomanPSMT" w:eastAsia="TimesNewRomanPSMT" w:hAnsi="TimesNewRomanPSMT"/>
          <w:color w:val="221F1F"/>
          <w:sz w:val="18"/>
        </w:rPr>
        <w:t xml:space="preserve">in longitudinal clinical studies with low-income populations. </w:t>
      </w:r>
      <w:r>
        <w:tab/>
      </w:r>
      <w:hyperlink r:id="rId69" w:history="1">
        <w:r>
          <w:rPr>
            <w:rFonts w:ascii="TimesNewRomanPSMT" w:eastAsia="TimesNewRomanPSMT" w:hAnsi="TimesNewRomanPSMT"/>
            <w:color w:val="221F1F"/>
            <w:sz w:val="18"/>
          </w:rPr>
          <w:t>200605000-00009</w:t>
        </w:r>
      </w:hyperlink>
    </w:p>
    <w:p w14:paraId="1A0314AC" w14:textId="77777777" w:rsidR="00FA6DE4" w:rsidRDefault="00FA6DE4">
      <w:pPr>
        <w:sectPr w:rsidR="00FA6DE4">
          <w:type w:val="continuous"/>
          <w:pgSz w:w="12240" w:h="15840"/>
          <w:pgMar w:top="396" w:right="894" w:bottom="740" w:left="1258" w:header="720" w:footer="720" w:gutter="0"/>
          <w:cols w:space="720" w:equalWidth="0">
            <w:col w:w="10088" w:space="0"/>
          </w:cols>
          <w:docGrid w:linePitch="360"/>
        </w:sectPr>
      </w:pPr>
    </w:p>
    <w:p w14:paraId="033CB9C5" w14:textId="77777777" w:rsidR="00FA6DE4" w:rsidRDefault="00000000">
      <w:pPr>
        <w:autoSpaceDE w:val="0"/>
        <w:autoSpaceDN w:val="0"/>
        <w:spacing w:after="0" w:line="200" w:lineRule="exact"/>
        <w:ind w:left="322"/>
      </w:pPr>
      <w:r>
        <w:rPr>
          <w:rFonts w:ascii="TimesNewRomanPS" w:eastAsia="TimesNewRomanPS" w:hAnsi="TimesNewRomanPS"/>
          <w:i/>
          <w:color w:val="221F1F"/>
          <w:sz w:val="18"/>
        </w:rPr>
        <w:t>Contemporary Clinical Trials</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32</w:t>
      </w:r>
      <w:r>
        <w:rPr>
          <w:rFonts w:ascii="TimesNewRomanPSMT" w:eastAsia="TimesNewRomanPSMT" w:hAnsi="TimesNewRomanPSMT"/>
          <w:color w:val="221F1F"/>
          <w:sz w:val="18"/>
        </w:rPr>
        <w:t xml:space="preserve">(3), 353-362. </w:t>
      </w:r>
      <w:hyperlink r:id="rId70" w:history="1">
        <w:r>
          <w:rPr>
            <w:rFonts w:ascii="TimesNewRomanPSMT" w:eastAsia="TimesNewRomanPSMT" w:hAnsi="TimesNewRomanPSMT"/>
            <w:color w:val="221F1F"/>
            <w:sz w:val="18"/>
          </w:rPr>
          <w:t>https://doi.</w:t>
        </w:r>
      </w:hyperlink>
    </w:p>
    <w:p w14:paraId="4BAF5F48" w14:textId="77777777" w:rsidR="00FA6DE4" w:rsidRDefault="00000000">
      <w:pPr>
        <w:tabs>
          <w:tab w:val="left" w:pos="322"/>
        </w:tabs>
        <w:autoSpaceDE w:val="0"/>
        <w:autoSpaceDN w:val="0"/>
        <w:spacing w:after="0" w:line="220" w:lineRule="exact"/>
        <w:ind w:left="2" w:right="144"/>
      </w:pPr>
      <w:r>
        <w:tab/>
      </w:r>
      <w:hyperlink r:id="rId71" w:history="1">
        <w:r>
          <w:rPr>
            <w:rFonts w:ascii="TimesNewRomanPSMT" w:eastAsia="TimesNewRomanPSMT" w:hAnsi="TimesNewRomanPSMT"/>
            <w:color w:val="221F1F"/>
            <w:sz w:val="18"/>
          </w:rPr>
          <w:t xml:space="preserve">org/10.1016/j.cct.2011.01.007 </w:t>
        </w:r>
      </w:hyperlink>
      <w:r>
        <w:br/>
      </w:r>
      <w:r>
        <w:rPr>
          <w:rFonts w:ascii="TimesNewRomanPSMT" w:eastAsia="TimesNewRomanPSMT" w:hAnsi="TimesNewRomanPSMT"/>
          <w:color w:val="221F1F"/>
          <w:sz w:val="18"/>
        </w:rPr>
        <w:t xml:space="preserve">Office of Disease Prevention and Health Promotion. (2020). </w:t>
      </w:r>
    </w:p>
    <w:p w14:paraId="21E72726" w14:textId="77777777" w:rsidR="00FA6DE4" w:rsidRDefault="00000000">
      <w:pPr>
        <w:tabs>
          <w:tab w:val="left" w:pos="322"/>
        </w:tabs>
        <w:autoSpaceDE w:val="0"/>
        <w:autoSpaceDN w:val="0"/>
        <w:spacing w:after="0" w:line="220" w:lineRule="exact"/>
        <w:ind w:left="2" w:right="144"/>
      </w:pPr>
      <w:r>
        <w:tab/>
      </w:r>
      <w:r>
        <w:rPr>
          <w:rFonts w:ascii="TimesNewRomanPS" w:eastAsia="TimesNewRomanPS" w:hAnsi="TimesNewRomanPS"/>
          <w:i/>
          <w:color w:val="221F1F"/>
          <w:sz w:val="18"/>
        </w:rPr>
        <w:t>Healthy People 2030 Framework</w:t>
      </w:r>
      <w:r>
        <w:rPr>
          <w:rFonts w:ascii="TimesNewRomanPSMT" w:eastAsia="TimesNewRomanPSMT" w:hAnsi="TimesNewRomanPSMT"/>
          <w:color w:val="221F1F"/>
          <w:sz w:val="18"/>
        </w:rPr>
        <w:t xml:space="preserve">. </w:t>
      </w:r>
      <w:hyperlink r:id="rId72" w:history="1">
        <w:r>
          <w:rPr>
            <w:rFonts w:ascii="TimesNewRomanPSMT" w:eastAsia="TimesNewRomanPSMT" w:hAnsi="TimesNewRomanPSMT"/>
            <w:color w:val="221F1F"/>
            <w:sz w:val="18"/>
          </w:rPr>
          <w:t>https://www.healthypeo-</w:t>
        </w:r>
      </w:hyperlink>
      <w:r>
        <w:tab/>
      </w:r>
      <w:hyperlink r:id="rId73" w:history="1">
        <w:r>
          <w:rPr>
            <w:rFonts w:ascii="TimesNewRomanPSMT" w:eastAsia="TimesNewRomanPSMT" w:hAnsi="TimesNewRomanPSMT"/>
            <w:color w:val="221F1F"/>
            <w:sz w:val="18"/>
          </w:rPr>
          <w:t>ple.gov/2020/About-Healthy-People/Development-Healthy-</w:t>
        </w:r>
      </w:hyperlink>
      <w:r>
        <w:tab/>
      </w:r>
      <w:hyperlink r:id="rId74" w:history="1">
        <w:r>
          <w:rPr>
            <w:rFonts w:ascii="TimesNewRomanPSMT" w:eastAsia="TimesNewRomanPSMT" w:hAnsi="TimesNewRomanPSMT"/>
            <w:color w:val="221F1F"/>
            <w:sz w:val="18"/>
          </w:rPr>
          <w:t xml:space="preserve">People-2030/Framework </w:t>
        </w:r>
      </w:hyperlink>
      <w:r>
        <w:br/>
      </w:r>
      <w:r>
        <w:rPr>
          <w:rFonts w:ascii="TimesNewRomanPSMT" w:eastAsia="TimesNewRomanPSMT" w:hAnsi="TimesNewRomanPSMT"/>
          <w:color w:val="221F1F"/>
          <w:sz w:val="18"/>
        </w:rPr>
        <w:t xml:space="preserve">Ohio Department of Education. (2018). </w:t>
      </w:r>
      <w:r>
        <w:rPr>
          <w:rFonts w:ascii="TimesNewRomanPS" w:eastAsia="TimesNewRomanPS" w:hAnsi="TimesNewRomanPS"/>
          <w:i/>
          <w:color w:val="221F1F"/>
          <w:sz w:val="18"/>
        </w:rPr>
        <w:t xml:space="preserve">Enrollment data: Current </w:t>
      </w:r>
      <w:r>
        <w:tab/>
      </w:r>
      <w:r>
        <w:rPr>
          <w:rFonts w:ascii="TimesNewRomanPS" w:eastAsia="TimesNewRomanPS" w:hAnsi="TimesNewRomanPS"/>
          <w:i/>
          <w:color w:val="221F1F"/>
          <w:sz w:val="18"/>
        </w:rPr>
        <w:t>year data</w:t>
      </w:r>
      <w:r>
        <w:rPr>
          <w:rFonts w:ascii="TimesNewRomanPSMT" w:eastAsia="TimesNewRomanPSMT" w:hAnsi="TimesNewRomanPSMT"/>
          <w:color w:val="221F1F"/>
          <w:sz w:val="18"/>
        </w:rPr>
        <w:t xml:space="preserve">. </w:t>
      </w:r>
      <w:hyperlink r:id="rId75" w:history="1">
        <w:r>
          <w:rPr>
            <w:rFonts w:ascii="TimesNewRomanPSMT" w:eastAsia="TimesNewRomanPSMT" w:hAnsi="TimesNewRomanPSMT"/>
            <w:color w:val="221F1F"/>
            <w:sz w:val="18"/>
          </w:rPr>
          <w:t xml:space="preserve">http://education.ohio.gov/getattachment/Topics/Data/ </w:t>
        </w:r>
      </w:hyperlink>
      <w:r>
        <w:tab/>
      </w:r>
      <w:hyperlink r:id="rId76" w:history="1">
        <w:r>
          <w:rPr>
            <w:rFonts w:ascii="TimesNewRomanPSMT" w:eastAsia="TimesNewRomanPSMT" w:hAnsi="TimesNewRomanPSMT"/>
            <w:color w:val="221F1F"/>
            <w:sz w:val="18"/>
          </w:rPr>
          <w:t>Frequently-Requested-Data/Enrollment-Data/oct_hdcnt_fy18.</w:t>
        </w:r>
      </w:hyperlink>
    </w:p>
    <w:p w14:paraId="3BD5AD0E" w14:textId="77777777" w:rsidR="00FA6DE4" w:rsidRDefault="00000000">
      <w:pPr>
        <w:tabs>
          <w:tab w:val="left" w:pos="322"/>
        </w:tabs>
        <w:autoSpaceDE w:val="0"/>
        <w:autoSpaceDN w:val="0"/>
        <w:spacing w:after="0" w:line="220" w:lineRule="exact"/>
        <w:ind w:left="2" w:right="144"/>
      </w:pPr>
      <w:r>
        <w:tab/>
      </w:r>
      <w:hyperlink r:id="rId77" w:history="1">
        <w:r>
          <w:rPr>
            <w:rFonts w:ascii="TimesNewRomanPSMT" w:eastAsia="TimesNewRomanPSMT" w:hAnsi="TimesNewRomanPSMT"/>
            <w:color w:val="221F1F"/>
            <w:sz w:val="18"/>
          </w:rPr>
          <w:t xml:space="preserve">xls.aspx?lang=en-US </w:t>
        </w:r>
      </w:hyperlink>
      <w:r>
        <w:br/>
      </w:r>
      <w:r>
        <w:rPr>
          <w:rFonts w:ascii="TimesNewRomanPSMT" w:eastAsia="TimesNewRomanPSMT" w:hAnsi="TimesNewRomanPSMT"/>
          <w:color w:val="221F1F"/>
          <w:sz w:val="18"/>
        </w:rPr>
        <w:t xml:space="preserve">Otado, J., Kwagyan, J., Edwards, D., Ukaegbu, A., Rockcliffe, </w:t>
      </w:r>
      <w:r>
        <w:tab/>
      </w:r>
      <w:r>
        <w:rPr>
          <w:rFonts w:ascii="TimesNewRomanPSMT" w:eastAsia="TimesNewRomanPSMT" w:hAnsi="TimesNewRomanPSMT"/>
          <w:color w:val="221F1F"/>
          <w:sz w:val="18"/>
        </w:rPr>
        <w:t xml:space="preserve">F., &amp; Osafo, N. (2015). Culturally competent strategies for </w:t>
      </w:r>
      <w:r>
        <w:tab/>
      </w:r>
      <w:r>
        <w:rPr>
          <w:rFonts w:ascii="TimesNewRomanPSMT" w:eastAsia="TimesNewRomanPSMT" w:hAnsi="TimesNewRomanPSMT"/>
          <w:color w:val="221F1F"/>
          <w:sz w:val="18"/>
        </w:rPr>
        <w:t xml:space="preserve">recruitment and retention of African American populations </w:t>
      </w:r>
    </w:p>
    <w:p w14:paraId="0F5CBA2C" w14:textId="77777777" w:rsidR="00FA6DE4" w:rsidRDefault="00FA6DE4">
      <w:pPr>
        <w:sectPr w:rsidR="00FA6DE4">
          <w:type w:val="continuous"/>
          <w:pgSz w:w="12240" w:h="15840"/>
          <w:pgMar w:top="396" w:right="894" w:bottom="740" w:left="1258" w:header="720" w:footer="720" w:gutter="0"/>
          <w:cols w:num="2" w:space="720" w:equalWidth="0">
            <w:col w:w="5034" w:space="0"/>
            <w:col w:w="5053" w:space="0"/>
          </w:cols>
          <w:docGrid w:linePitch="360"/>
        </w:sectPr>
      </w:pPr>
    </w:p>
    <w:p w14:paraId="735ED36B" w14:textId="77777777" w:rsidR="00FA6DE4" w:rsidRDefault="00000000">
      <w:pPr>
        <w:tabs>
          <w:tab w:val="left" w:pos="478"/>
        </w:tabs>
        <w:autoSpaceDE w:val="0"/>
        <w:autoSpaceDN w:val="0"/>
        <w:spacing w:after="0" w:line="218" w:lineRule="exact"/>
        <w:ind w:left="158"/>
      </w:pPr>
      <w:r>
        <w:rPr>
          <w:rFonts w:ascii="TimesNewRomanPSMT" w:eastAsia="TimesNewRomanPSMT" w:hAnsi="TimesNewRomanPSMT"/>
          <w:color w:val="221F1F"/>
          <w:sz w:val="18"/>
        </w:rPr>
        <w:lastRenderedPageBreak/>
        <w:t xml:space="preserve">Sugie, N. F. (2018). Utilizing smartphones to study disadvantaged </w:t>
      </w:r>
      <w:r>
        <w:tab/>
      </w:r>
      <w:r>
        <w:rPr>
          <w:rFonts w:ascii="TimesNewRomanPSMT" w:eastAsia="TimesNewRomanPSMT" w:hAnsi="TimesNewRomanPSMT"/>
          <w:color w:val="221F1F"/>
          <w:sz w:val="18"/>
        </w:rPr>
        <w:t xml:space="preserve">and hard-to-reach groups. </w:t>
      </w:r>
      <w:r>
        <w:rPr>
          <w:rFonts w:ascii="TimesNewRomanPS" w:eastAsia="TimesNewRomanPS" w:hAnsi="TimesNewRomanPS"/>
          <w:i/>
          <w:color w:val="221F1F"/>
          <w:sz w:val="18"/>
        </w:rPr>
        <w:t>Sociological Methods &amp; Research</w:t>
      </w:r>
      <w:r>
        <w:rPr>
          <w:rFonts w:ascii="TimesNewRomanPSMT" w:eastAsia="TimesNewRomanPSMT" w:hAnsi="TimesNewRomanPSMT"/>
          <w:color w:val="221F1F"/>
          <w:sz w:val="18"/>
        </w:rPr>
        <w:t xml:space="preserve">, </w:t>
      </w:r>
      <w:r>
        <w:tab/>
      </w:r>
      <w:r>
        <w:rPr>
          <w:rFonts w:ascii="TimesNewRomanPS" w:eastAsia="TimesNewRomanPS" w:hAnsi="TimesNewRomanPS"/>
          <w:i/>
          <w:color w:val="221F1F"/>
          <w:sz w:val="18"/>
        </w:rPr>
        <w:t>47</w:t>
      </w:r>
      <w:r>
        <w:rPr>
          <w:rFonts w:ascii="TimesNewRomanPSMT" w:eastAsia="TimesNewRomanPSMT" w:hAnsi="TimesNewRomanPSMT"/>
          <w:color w:val="221F1F"/>
          <w:sz w:val="18"/>
        </w:rPr>
        <w:t xml:space="preserve">(3), 458-491. </w:t>
      </w:r>
      <w:hyperlink r:id="rId78" w:history="1">
        <w:r>
          <w:rPr>
            <w:rFonts w:ascii="TimesNewRomanPSMT" w:eastAsia="TimesNewRomanPSMT" w:hAnsi="TimesNewRomanPSMT"/>
            <w:color w:val="221F1F"/>
            <w:sz w:val="18"/>
          </w:rPr>
          <w:t xml:space="preserve">https://doi.org/10.1177/0049124115626176 </w:t>
        </w:r>
      </w:hyperlink>
      <w:r>
        <w:rPr>
          <w:rFonts w:ascii="TimesNewRomanPSMT" w:eastAsia="TimesNewRomanPSMT" w:hAnsi="TimesNewRomanPSMT"/>
          <w:color w:val="221F1F"/>
          <w:sz w:val="18"/>
        </w:rPr>
        <w:t xml:space="preserve">Swindle, T. M., Ward, W. L., Whiteside-Mansell, L., Bokony, P., </w:t>
      </w:r>
      <w:r>
        <w:tab/>
      </w:r>
      <w:r>
        <w:rPr>
          <w:rFonts w:ascii="TimesNewRomanPSMT" w:eastAsia="TimesNewRomanPSMT" w:hAnsi="TimesNewRomanPSMT"/>
          <w:color w:val="221F1F"/>
          <w:sz w:val="18"/>
        </w:rPr>
        <w:t>&amp; Pettit, D. (2014). Technology use and interest among low-</w:t>
      </w:r>
      <w:r>
        <w:tab/>
      </w:r>
      <w:r>
        <w:rPr>
          <w:rFonts w:ascii="TimesNewRomanPSMT" w:eastAsia="TimesNewRomanPSMT" w:hAnsi="TimesNewRomanPSMT"/>
          <w:color w:val="221F1F"/>
          <w:sz w:val="18"/>
        </w:rPr>
        <w:t xml:space="preserve">income parents of young children: Differences by age group </w:t>
      </w:r>
      <w:r>
        <w:tab/>
      </w:r>
      <w:r>
        <w:rPr>
          <w:rFonts w:ascii="TimesNewRomanPSMT" w:eastAsia="TimesNewRomanPSMT" w:hAnsi="TimesNewRomanPSMT"/>
          <w:color w:val="221F1F"/>
          <w:sz w:val="18"/>
        </w:rPr>
        <w:t xml:space="preserve">and ethnicity. </w:t>
      </w:r>
      <w:r>
        <w:rPr>
          <w:rFonts w:ascii="TimesNewRomanPS" w:eastAsia="TimesNewRomanPS" w:hAnsi="TimesNewRomanPS"/>
          <w:i/>
          <w:color w:val="221F1F"/>
          <w:sz w:val="18"/>
        </w:rPr>
        <w:t>Journal of Nutrition Education and Behavior</w:t>
      </w:r>
      <w:r>
        <w:rPr>
          <w:rFonts w:ascii="TimesNewRomanPSMT" w:eastAsia="TimesNewRomanPSMT" w:hAnsi="TimesNewRomanPSMT"/>
          <w:color w:val="221F1F"/>
          <w:sz w:val="18"/>
        </w:rPr>
        <w:t xml:space="preserve">, </w:t>
      </w:r>
      <w:r>
        <w:tab/>
      </w:r>
      <w:r>
        <w:rPr>
          <w:rFonts w:ascii="TimesNewRomanPS" w:eastAsia="TimesNewRomanPS" w:hAnsi="TimesNewRomanPS"/>
          <w:i/>
          <w:color w:val="221F1F"/>
          <w:sz w:val="18"/>
        </w:rPr>
        <w:t>46</w:t>
      </w:r>
      <w:r>
        <w:rPr>
          <w:rFonts w:ascii="TimesNewRomanPSMT" w:eastAsia="TimesNewRomanPSMT" w:hAnsi="TimesNewRomanPSMT"/>
          <w:color w:val="221F1F"/>
          <w:sz w:val="18"/>
        </w:rPr>
        <w:t xml:space="preserve">(6), 484-490. </w:t>
      </w:r>
      <w:hyperlink r:id="rId79" w:history="1">
        <w:r>
          <w:rPr>
            <w:rFonts w:ascii="TimesNewRomanPSMT" w:eastAsia="TimesNewRomanPSMT" w:hAnsi="TimesNewRomanPSMT"/>
            <w:color w:val="221F1F"/>
            <w:sz w:val="18"/>
          </w:rPr>
          <w:t xml:space="preserve">https://doi.org/10.1016/j.jneb.2014.06.004 </w:t>
        </w:r>
      </w:hyperlink>
      <w:r>
        <w:rPr>
          <w:rFonts w:ascii="TimesNewRomanPSMT" w:eastAsia="TimesNewRomanPSMT" w:hAnsi="TimesNewRomanPSMT"/>
          <w:color w:val="221F1F"/>
          <w:sz w:val="18"/>
        </w:rPr>
        <w:t xml:space="preserve">Talavera, A. C., Buelna, C., Giacinto, R. E., Castañeda, S. F., </w:t>
      </w:r>
      <w:r>
        <w:tab/>
      </w:r>
      <w:r>
        <w:rPr>
          <w:rFonts w:ascii="TimesNewRomanPSMT" w:eastAsia="TimesNewRomanPSMT" w:hAnsi="TimesNewRomanPSMT"/>
          <w:color w:val="221F1F"/>
          <w:sz w:val="18"/>
        </w:rPr>
        <w:t xml:space="preserve">Giachello, A., Crespo-Figueroa, M., Hernández, J. B., </w:t>
      </w:r>
      <w:r>
        <w:tab/>
      </w:r>
      <w:r>
        <w:rPr>
          <w:rFonts w:ascii="TimesNewRomanPSMT" w:eastAsia="TimesNewRomanPSMT" w:hAnsi="TimesNewRomanPSMT"/>
          <w:color w:val="221F1F"/>
          <w:sz w:val="18"/>
        </w:rPr>
        <w:t xml:space="preserve">Rodriguez, R., de los Angeles Abreu, M., Sanchez, C. M., &amp; </w:t>
      </w:r>
      <w:r>
        <w:tab/>
      </w:r>
      <w:r>
        <w:rPr>
          <w:rFonts w:ascii="TimesNewRomanPSMT" w:eastAsia="TimesNewRomanPSMT" w:hAnsi="TimesNewRomanPSMT"/>
          <w:color w:val="221F1F"/>
          <w:sz w:val="18"/>
        </w:rPr>
        <w:t>Perreira, K. (2016). Levels of participants satisfaction with ini-</w:t>
      </w:r>
      <w:r>
        <w:tab/>
      </w:r>
      <w:r>
        <w:rPr>
          <w:rFonts w:ascii="TimesNewRomanPSMT" w:eastAsia="TimesNewRomanPSMT" w:hAnsi="TimesNewRomanPSMT"/>
          <w:color w:val="221F1F"/>
          <w:sz w:val="18"/>
        </w:rPr>
        <w:t xml:space="preserve">tial contact and examination visit: The Hispanic community </w:t>
      </w:r>
    </w:p>
    <w:p w14:paraId="17E19ADF" w14:textId="77777777" w:rsidR="00FA6DE4" w:rsidRDefault="00FA6DE4">
      <w:pPr>
        <w:sectPr w:rsidR="00FA6DE4">
          <w:type w:val="nextColumn"/>
          <w:pgSz w:w="12240" w:h="15840"/>
          <w:pgMar w:top="396" w:right="894" w:bottom="740" w:left="1258" w:header="720" w:footer="720" w:gutter="0"/>
          <w:cols w:num="2" w:space="720" w:equalWidth="0">
            <w:col w:w="5034" w:space="0"/>
            <w:col w:w="5053" w:space="0"/>
          </w:cols>
          <w:docGrid w:linePitch="360"/>
        </w:sectPr>
      </w:pPr>
    </w:p>
    <w:p w14:paraId="44FF1F2C" w14:textId="77777777" w:rsidR="00FA6DE4" w:rsidRDefault="00FA6DE4">
      <w:pPr>
        <w:autoSpaceDE w:val="0"/>
        <w:autoSpaceDN w:val="0"/>
        <w:spacing w:after="174" w:line="220" w:lineRule="exact"/>
      </w:pPr>
    </w:p>
    <w:tbl>
      <w:tblPr>
        <w:tblW w:w="0" w:type="auto"/>
        <w:tblLayout w:type="fixed"/>
        <w:tblLook w:val="04A0" w:firstRow="1" w:lastRow="0" w:firstColumn="1" w:lastColumn="0" w:noHBand="0" w:noVBand="1"/>
      </w:tblPr>
      <w:tblGrid>
        <w:gridCol w:w="3622"/>
        <w:gridCol w:w="6402"/>
      </w:tblGrid>
      <w:tr w:rsidR="00FA6DE4" w14:paraId="6D7E9DC8" w14:textId="77777777">
        <w:trPr>
          <w:trHeight w:hRule="exact" w:val="254"/>
        </w:trPr>
        <w:tc>
          <w:tcPr>
            <w:tcW w:w="3622" w:type="dxa"/>
            <w:tcBorders>
              <w:bottom w:val="single" w:sz="2" w:space="0" w:color="221F1F"/>
            </w:tcBorders>
            <w:tcMar>
              <w:left w:w="0" w:type="dxa"/>
              <w:right w:w="0" w:type="dxa"/>
            </w:tcMar>
          </w:tcPr>
          <w:p w14:paraId="0A5BC3BD" w14:textId="77777777" w:rsidR="00FA6DE4" w:rsidRDefault="00000000">
            <w:pPr>
              <w:autoSpaceDE w:val="0"/>
              <w:autoSpaceDN w:val="0"/>
              <w:spacing w:after="0" w:line="234" w:lineRule="exact"/>
              <w:ind w:left="2"/>
            </w:pPr>
            <w:r>
              <w:rPr>
                <w:rFonts w:ascii="GillSansMTPro" w:eastAsia="GillSansMTPro" w:hAnsi="GillSansMTPro"/>
                <w:color w:val="221F1F"/>
                <w:sz w:val="20"/>
              </w:rPr>
              <w:t>8</w:t>
            </w:r>
          </w:p>
        </w:tc>
        <w:tc>
          <w:tcPr>
            <w:tcW w:w="6402" w:type="dxa"/>
            <w:tcBorders>
              <w:bottom w:val="single" w:sz="2" w:space="0" w:color="221F1F"/>
            </w:tcBorders>
            <w:tcMar>
              <w:left w:w="0" w:type="dxa"/>
              <w:right w:w="0" w:type="dxa"/>
            </w:tcMar>
          </w:tcPr>
          <w:p w14:paraId="7D70DA96" w14:textId="77777777" w:rsidR="00FA6DE4" w:rsidRDefault="00000000">
            <w:pPr>
              <w:autoSpaceDE w:val="0"/>
              <w:autoSpaceDN w:val="0"/>
              <w:spacing w:after="0" w:line="232" w:lineRule="exact"/>
              <w:ind w:right="2"/>
              <w:jc w:val="right"/>
            </w:pPr>
            <w:r>
              <w:rPr>
                <w:rFonts w:ascii="GillSansMTPro" w:eastAsia="GillSansMTPro" w:hAnsi="GillSansMTPro"/>
                <w:i/>
                <w:color w:val="221F1F"/>
                <w:sz w:val="20"/>
              </w:rPr>
              <w:t>Journal of Transcultural Nursing 00(0)</w:t>
            </w:r>
          </w:p>
        </w:tc>
      </w:tr>
    </w:tbl>
    <w:p w14:paraId="2D77F413" w14:textId="77777777" w:rsidR="00FA6DE4" w:rsidRDefault="00FA6DE4">
      <w:pPr>
        <w:autoSpaceDE w:val="0"/>
        <w:autoSpaceDN w:val="0"/>
        <w:spacing w:after="338" w:line="14" w:lineRule="exact"/>
      </w:pPr>
    </w:p>
    <w:p w14:paraId="6DDB3E76" w14:textId="77777777" w:rsidR="00FA6DE4" w:rsidRDefault="00FA6DE4">
      <w:pPr>
        <w:sectPr w:rsidR="00FA6DE4">
          <w:pgSz w:w="12240" w:h="15840"/>
          <w:pgMar w:top="396" w:right="1194" w:bottom="1440" w:left="958" w:header="720" w:footer="720" w:gutter="0"/>
          <w:cols w:space="720" w:equalWidth="0">
            <w:col w:w="10088" w:space="0"/>
          </w:cols>
          <w:docGrid w:linePitch="360"/>
        </w:sectPr>
      </w:pPr>
    </w:p>
    <w:p w14:paraId="0EF8329A" w14:textId="77777777" w:rsidR="00FA6DE4" w:rsidRDefault="00000000">
      <w:pPr>
        <w:tabs>
          <w:tab w:val="left" w:pos="322"/>
        </w:tabs>
        <w:autoSpaceDE w:val="0"/>
        <w:autoSpaceDN w:val="0"/>
        <w:spacing w:after="0" w:line="214" w:lineRule="exact"/>
        <w:ind w:left="2" w:right="144"/>
      </w:pPr>
      <w:r>
        <w:tab/>
      </w:r>
      <w:r>
        <w:rPr>
          <w:rFonts w:ascii="TimesNewRomanPSMT" w:eastAsia="TimesNewRomanPSMT" w:hAnsi="TimesNewRomanPSMT"/>
          <w:color w:val="221F1F"/>
          <w:sz w:val="18"/>
        </w:rPr>
        <w:t xml:space="preserve">health study/study of Latinos (HCHS/SOL). </w:t>
      </w:r>
      <w:r>
        <w:rPr>
          <w:rFonts w:ascii="TimesNewRomanPS" w:eastAsia="TimesNewRomanPS" w:hAnsi="TimesNewRomanPS"/>
          <w:i/>
          <w:color w:val="221F1F"/>
          <w:sz w:val="18"/>
        </w:rPr>
        <w:t xml:space="preserve">Ethnicity &amp; </w:t>
      </w:r>
      <w:r>
        <w:tab/>
      </w:r>
      <w:r>
        <w:rPr>
          <w:rFonts w:ascii="TimesNewRomanPS" w:eastAsia="TimesNewRomanPS" w:hAnsi="TimesNewRomanPS"/>
          <w:i/>
          <w:color w:val="221F1F"/>
          <w:sz w:val="18"/>
        </w:rPr>
        <w:t>Disease</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26</w:t>
      </w:r>
      <w:r>
        <w:rPr>
          <w:rFonts w:ascii="TimesNewRomanPSMT" w:eastAsia="TimesNewRomanPSMT" w:hAnsi="TimesNewRomanPSMT"/>
          <w:color w:val="221F1F"/>
          <w:sz w:val="18"/>
        </w:rPr>
        <w:t xml:space="preserve">(3), 435-442. </w:t>
      </w:r>
      <w:hyperlink r:id="rId80" w:history="1">
        <w:r>
          <w:rPr>
            <w:rFonts w:ascii="TimesNewRomanPSMT" w:eastAsia="TimesNewRomanPSMT" w:hAnsi="TimesNewRomanPSMT"/>
            <w:color w:val="221F1F"/>
            <w:sz w:val="18"/>
          </w:rPr>
          <w:t xml:space="preserve">https://doi.org/10.18865/ed.26.3.435 </w:t>
        </w:r>
      </w:hyperlink>
      <w:r>
        <w:rPr>
          <w:rFonts w:ascii="TimesNewRomanPSMT" w:eastAsia="TimesNewRomanPSMT" w:hAnsi="TimesNewRomanPSMT"/>
          <w:color w:val="221F1F"/>
          <w:sz w:val="18"/>
        </w:rPr>
        <w:t xml:space="preserve">Trapp, G., Giles-Corti, B., Martin, K., Timperio, A., &amp; Villanueva, </w:t>
      </w:r>
    </w:p>
    <w:p w14:paraId="62B9E9A0" w14:textId="77777777" w:rsidR="00FA6DE4" w:rsidRDefault="00FA6DE4">
      <w:pPr>
        <w:sectPr w:rsidR="00FA6DE4">
          <w:type w:val="continuous"/>
          <w:pgSz w:w="12240" w:h="15840"/>
          <w:pgMar w:top="396" w:right="1194" w:bottom="1440" w:left="958" w:header="720" w:footer="720" w:gutter="0"/>
          <w:cols w:num="2" w:space="720" w:equalWidth="0">
            <w:col w:w="5034" w:space="0"/>
            <w:col w:w="5053" w:space="0"/>
          </w:cols>
          <w:docGrid w:linePitch="360"/>
        </w:sectPr>
      </w:pPr>
    </w:p>
    <w:p w14:paraId="11449B5C" w14:textId="77777777" w:rsidR="00FA6DE4" w:rsidRDefault="00000000">
      <w:pPr>
        <w:autoSpaceDE w:val="0"/>
        <w:autoSpaceDN w:val="0"/>
        <w:spacing w:after="22" w:line="212" w:lineRule="exact"/>
        <w:ind w:left="478" w:hanging="320"/>
      </w:pPr>
      <w:r>
        <w:rPr>
          <w:rFonts w:ascii="TimesNewRomanPSMT" w:eastAsia="TimesNewRomanPSMT" w:hAnsi="TimesNewRomanPSMT"/>
          <w:color w:val="221F1F"/>
          <w:sz w:val="18"/>
        </w:rPr>
        <w:t xml:space="preserve">Water, T. (2018). Ethical issues in participatory research with chil-dren and young people. In I. Coyne &amp; B. Carter (Eds.), </w:t>
      </w:r>
      <w:r>
        <w:rPr>
          <w:rFonts w:ascii="TimesNewRomanPS" w:eastAsia="TimesNewRomanPS" w:hAnsi="TimesNewRomanPS"/>
          <w:i/>
          <w:color w:val="221F1F"/>
          <w:sz w:val="18"/>
        </w:rPr>
        <w:t>Being participatory: Researching with children and young people</w:t>
      </w:r>
    </w:p>
    <w:p w14:paraId="1008D20C" w14:textId="77777777" w:rsidR="00FA6DE4" w:rsidRDefault="00FA6DE4">
      <w:pPr>
        <w:sectPr w:rsidR="00FA6DE4">
          <w:type w:val="nextColumn"/>
          <w:pgSz w:w="12240" w:h="15840"/>
          <w:pgMar w:top="396" w:right="1194" w:bottom="1440" w:left="958" w:header="720" w:footer="720" w:gutter="0"/>
          <w:cols w:num="2" w:space="720" w:equalWidth="0">
            <w:col w:w="5034" w:space="0"/>
            <w:col w:w="5053" w:space="0"/>
          </w:cols>
          <w:docGrid w:linePitch="360"/>
        </w:sectPr>
      </w:pPr>
    </w:p>
    <w:p w14:paraId="3D6EBD9F" w14:textId="77777777" w:rsidR="00FA6DE4" w:rsidRDefault="00000000">
      <w:pPr>
        <w:tabs>
          <w:tab w:val="left" w:pos="5512"/>
        </w:tabs>
        <w:autoSpaceDE w:val="0"/>
        <w:autoSpaceDN w:val="0"/>
        <w:spacing w:after="20" w:line="200" w:lineRule="exact"/>
        <w:ind w:left="322"/>
      </w:pPr>
      <w:r>
        <w:rPr>
          <w:rFonts w:ascii="TimesNewRomanPSMT" w:eastAsia="TimesNewRomanPSMT" w:hAnsi="TimesNewRomanPSMT"/>
          <w:color w:val="221F1F"/>
          <w:sz w:val="18"/>
        </w:rPr>
        <w:t>K. (2012). Conducting field research in a primary school set-</w:t>
      </w:r>
      <w:r>
        <w:tab/>
      </w:r>
      <w:r>
        <w:rPr>
          <w:rFonts w:ascii="TimesNewRomanPSMT" w:eastAsia="TimesNewRomanPSMT" w:hAnsi="TimesNewRomanPSMT"/>
          <w:color w:val="221F1F"/>
          <w:sz w:val="18"/>
        </w:rPr>
        <w:t>(pp. 37-56). Springer.</w:t>
      </w:r>
    </w:p>
    <w:p w14:paraId="5C6D5D7E" w14:textId="77777777" w:rsidR="00FA6DE4" w:rsidRDefault="00FA6DE4">
      <w:pPr>
        <w:sectPr w:rsidR="00FA6DE4">
          <w:type w:val="continuous"/>
          <w:pgSz w:w="12240" w:h="15840"/>
          <w:pgMar w:top="396" w:right="1194" w:bottom="1440" w:left="958" w:header="720" w:footer="720" w:gutter="0"/>
          <w:cols w:space="720" w:equalWidth="0">
            <w:col w:w="10088" w:space="0"/>
          </w:cols>
          <w:docGrid w:linePitch="360"/>
        </w:sectPr>
      </w:pPr>
    </w:p>
    <w:p w14:paraId="6AA897B8" w14:textId="77777777" w:rsidR="00FA6DE4" w:rsidRDefault="00000000">
      <w:pPr>
        <w:tabs>
          <w:tab w:val="left" w:pos="322"/>
        </w:tabs>
        <w:autoSpaceDE w:val="0"/>
        <w:autoSpaceDN w:val="0"/>
        <w:spacing w:after="0" w:line="218" w:lineRule="exact"/>
        <w:ind w:left="2" w:right="144"/>
      </w:pPr>
      <w:r>
        <w:tab/>
      </w:r>
      <w:r>
        <w:rPr>
          <w:rFonts w:ascii="TimesNewRomanPSMT" w:eastAsia="TimesNewRomanPSMT" w:hAnsi="TimesNewRomanPSMT"/>
          <w:color w:val="221F1F"/>
          <w:sz w:val="18"/>
        </w:rPr>
        <w:t xml:space="preserve">ting: Methodological considerations for maximizing response </w:t>
      </w:r>
      <w:r>
        <w:tab/>
      </w:r>
      <w:r>
        <w:rPr>
          <w:rFonts w:ascii="TimesNewRomanPSMT" w:eastAsia="TimesNewRomanPSMT" w:hAnsi="TimesNewRomanPSMT"/>
          <w:color w:val="221F1F"/>
          <w:sz w:val="18"/>
        </w:rPr>
        <w:t xml:space="preserve">rates, data quality and quantity. </w:t>
      </w:r>
      <w:r>
        <w:rPr>
          <w:rFonts w:ascii="TimesNewRomanPS" w:eastAsia="TimesNewRomanPS" w:hAnsi="TimesNewRomanPS"/>
          <w:i/>
          <w:color w:val="221F1F"/>
          <w:sz w:val="18"/>
        </w:rPr>
        <w:t>Health Education Journal</w:t>
      </w:r>
      <w:r>
        <w:rPr>
          <w:rFonts w:ascii="TimesNewRomanPSMT" w:eastAsia="TimesNewRomanPSMT" w:hAnsi="TimesNewRomanPSMT"/>
          <w:color w:val="221F1F"/>
          <w:sz w:val="18"/>
        </w:rPr>
        <w:t xml:space="preserve">, </w:t>
      </w:r>
      <w:r>
        <w:tab/>
      </w:r>
      <w:r>
        <w:rPr>
          <w:rFonts w:ascii="TimesNewRomanPS" w:eastAsia="TimesNewRomanPS" w:hAnsi="TimesNewRomanPS"/>
          <w:i/>
          <w:color w:val="221F1F"/>
          <w:sz w:val="18"/>
        </w:rPr>
        <w:t>71</w:t>
      </w:r>
      <w:r>
        <w:rPr>
          <w:rFonts w:ascii="TimesNewRomanPSMT" w:eastAsia="TimesNewRomanPSMT" w:hAnsi="TimesNewRomanPSMT"/>
          <w:color w:val="221F1F"/>
          <w:sz w:val="18"/>
        </w:rPr>
        <w:t xml:space="preserve">(5), 590-596. </w:t>
      </w:r>
      <w:hyperlink r:id="rId81" w:history="1">
        <w:r>
          <w:rPr>
            <w:rFonts w:ascii="TimesNewRomanPSMT" w:eastAsia="TimesNewRomanPSMT" w:hAnsi="TimesNewRomanPSMT"/>
            <w:color w:val="221F1F"/>
            <w:sz w:val="18"/>
          </w:rPr>
          <w:t xml:space="preserve">https://doi.org/10.1177/0017896911411766 </w:t>
        </w:r>
      </w:hyperlink>
      <w:r>
        <w:rPr>
          <w:rFonts w:ascii="TimesNewRomanPSMT" w:eastAsia="TimesNewRomanPSMT" w:hAnsi="TimesNewRomanPSMT"/>
          <w:color w:val="221F1F"/>
          <w:sz w:val="18"/>
        </w:rPr>
        <w:t xml:space="preserve">U.S. Census Bureau. (n.d.). </w:t>
      </w:r>
      <w:r>
        <w:rPr>
          <w:rFonts w:ascii="TimesNewRomanPS" w:eastAsia="TimesNewRomanPS" w:hAnsi="TimesNewRomanPS"/>
          <w:i/>
          <w:color w:val="221F1F"/>
          <w:sz w:val="18"/>
        </w:rPr>
        <w:t>QuickFacts</w:t>
      </w:r>
      <w:r>
        <w:rPr>
          <w:rFonts w:ascii="TimesNewRomanPSMT" w:eastAsia="TimesNewRomanPSMT" w:hAnsi="TimesNewRomanPSMT"/>
          <w:color w:val="221F1F"/>
          <w:sz w:val="18"/>
        </w:rPr>
        <w:t xml:space="preserve">. </w:t>
      </w:r>
      <w:hyperlink r:id="rId82" w:history="1">
        <w:r>
          <w:rPr>
            <w:rFonts w:ascii="TimesNewRomanPSMT" w:eastAsia="TimesNewRomanPSMT" w:hAnsi="TimesNewRomanPSMT"/>
            <w:color w:val="221F1F"/>
            <w:sz w:val="18"/>
          </w:rPr>
          <w:t xml:space="preserve">http://www.census.gov/ </w:t>
        </w:r>
      </w:hyperlink>
      <w:r>
        <w:tab/>
      </w:r>
      <w:hyperlink r:id="rId83" w:history="1">
        <w:r>
          <w:rPr>
            <w:rFonts w:ascii="TimesNewRomanPSMT" w:eastAsia="TimesNewRomanPSMT" w:hAnsi="TimesNewRomanPSMT"/>
            <w:color w:val="221F1F"/>
            <w:sz w:val="18"/>
          </w:rPr>
          <w:t xml:space="preserve">quickfacts/table/PST045215/00 </w:t>
        </w:r>
      </w:hyperlink>
      <w:r>
        <w:br/>
      </w:r>
      <w:r>
        <w:rPr>
          <w:rFonts w:ascii="TimesNewRomanPSMT" w:eastAsia="TimesNewRomanPSMT" w:hAnsi="TimesNewRomanPSMT"/>
          <w:color w:val="221F1F"/>
          <w:sz w:val="18"/>
        </w:rPr>
        <w:t>Wallace, D. C., &amp; Bartlett, R. (2013). Recruitment and reten-</w:t>
      </w:r>
      <w:r>
        <w:tab/>
      </w:r>
      <w:r>
        <w:rPr>
          <w:rFonts w:ascii="TimesNewRomanPSMT" w:eastAsia="TimesNewRomanPSMT" w:hAnsi="TimesNewRomanPSMT"/>
          <w:color w:val="221F1F"/>
          <w:sz w:val="18"/>
        </w:rPr>
        <w:t xml:space="preserve">tion of African American and Hispanic girls and women in </w:t>
      </w:r>
      <w:r>
        <w:tab/>
      </w:r>
      <w:r>
        <w:rPr>
          <w:rFonts w:ascii="TimesNewRomanPSMT" w:eastAsia="TimesNewRomanPSMT" w:hAnsi="TimesNewRomanPSMT"/>
          <w:color w:val="221F1F"/>
          <w:sz w:val="18"/>
        </w:rPr>
        <w:t xml:space="preserve">research. </w:t>
      </w:r>
      <w:r>
        <w:rPr>
          <w:rFonts w:ascii="TimesNewRomanPS" w:eastAsia="TimesNewRomanPS" w:hAnsi="TimesNewRomanPS"/>
          <w:i/>
          <w:color w:val="221F1F"/>
          <w:sz w:val="18"/>
        </w:rPr>
        <w:t>Public Health Nursing</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30</w:t>
      </w:r>
      <w:r>
        <w:rPr>
          <w:rFonts w:ascii="TimesNewRomanPSMT" w:eastAsia="TimesNewRomanPSMT" w:hAnsi="TimesNewRomanPSMT"/>
          <w:color w:val="221F1F"/>
          <w:sz w:val="18"/>
        </w:rPr>
        <w:t xml:space="preserve">(2), 159-166. </w:t>
      </w:r>
      <w:hyperlink r:id="rId84" w:history="1">
        <w:r>
          <w:rPr>
            <w:rFonts w:ascii="TimesNewRomanPSMT" w:eastAsia="TimesNewRomanPSMT" w:hAnsi="TimesNewRomanPSMT"/>
            <w:color w:val="221F1F"/>
            <w:sz w:val="18"/>
          </w:rPr>
          <w:t>https://doi.</w:t>
        </w:r>
      </w:hyperlink>
    </w:p>
    <w:p w14:paraId="60D14BBA" w14:textId="77777777" w:rsidR="00FA6DE4" w:rsidRDefault="00FA6DE4">
      <w:pPr>
        <w:sectPr w:rsidR="00FA6DE4">
          <w:type w:val="continuous"/>
          <w:pgSz w:w="12240" w:h="15840"/>
          <w:pgMar w:top="396" w:right="1194" w:bottom="1440" w:left="958" w:header="720" w:footer="720" w:gutter="0"/>
          <w:cols w:num="2" w:space="720" w:equalWidth="0">
            <w:col w:w="5034" w:space="0"/>
            <w:col w:w="5053" w:space="0"/>
          </w:cols>
          <w:docGrid w:linePitch="360"/>
        </w:sectPr>
      </w:pPr>
    </w:p>
    <w:p w14:paraId="58530F43" w14:textId="77777777" w:rsidR="00FA6DE4" w:rsidRDefault="00000000">
      <w:pPr>
        <w:autoSpaceDE w:val="0"/>
        <w:autoSpaceDN w:val="0"/>
        <w:spacing w:after="0" w:line="198" w:lineRule="exact"/>
        <w:ind w:left="158"/>
      </w:pPr>
      <w:r>
        <w:rPr>
          <w:rFonts w:ascii="TimesNewRomanPSMT" w:eastAsia="TimesNewRomanPSMT" w:hAnsi="TimesNewRomanPSMT"/>
          <w:color w:val="221F1F"/>
          <w:sz w:val="18"/>
        </w:rPr>
        <w:t xml:space="preserve">Yancey, A. K., Ortega, A. N., &amp; Kumanyika, S. K. (2006). </w:t>
      </w:r>
    </w:p>
    <w:p w14:paraId="057D5E60" w14:textId="77777777" w:rsidR="00FA6DE4" w:rsidRDefault="00000000">
      <w:pPr>
        <w:tabs>
          <w:tab w:val="left" w:pos="478"/>
        </w:tabs>
        <w:autoSpaceDE w:val="0"/>
        <w:autoSpaceDN w:val="0"/>
        <w:spacing w:after="14" w:line="220" w:lineRule="exact"/>
        <w:ind w:left="158"/>
      </w:pPr>
      <w:r>
        <w:tab/>
      </w:r>
      <w:r>
        <w:rPr>
          <w:rFonts w:ascii="TimesNewRomanPSMT" w:eastAsia="TimesNewRomanPSMT" w:hAnsi="TimesNewRomanPSMT"/>
          <w:color w:val="221F1F"/>
          <w:sz w:val="18"/>
        </w:rPr>
        <w:t>Effective recruitment and retention of minority research par-</w:t>
      </w:r>
      <w:r>
        <w:tab/>
      </w:r>
      <w:r>
        <w:rPr>
          <w:rFonts w:ascii="TimesNewRomanPSMT" w:eastAsia="TimesNewRomanPSMT" w:hAnsi="TimesNewRomanPSMT"/>
          <w:color w:val="221F1F"/>
          <w:sz w:val="18"/>
        </w:rPr>
        <w:t xml:space="preserve">ticipants. </w:t>
      </w:r>
      <w:r>
        <w:rPr>
          <w:rFonts w:ascii="TimesNewRomanPS" w:eastAsia="TimesNewRomanPS" w:hAnsi="TimesNewRomanPS"/>
          <w:i/>
          <w:color w:val="221F1F"/>
          <w:sz w:val="18"/>
        </w:rPr>
        <w:t>Annual Review of Public Health</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27</w:t>
      </w:r>
      <w:r>
        <w:rPr>
          <w:rFonts w:ascii="TimesNewRomanPSMT" w:eastAsia="TimesNewRomanPSMT" w:hAnsi="TimesNewRomanPSMT"/>
          <w:color w:val="221F1F"/>
          <w:sz w:val="18"/>
        </w:rPr>
        <w:t xml:space="preserve">(1), 1-28. </w:t>
      </w:r>
      <w:hyperlink r:id="rId85" w:history="1">
        <w:r>
          <w:rPr>
            <w:rFonts w:ascii="TimesNewRomanPSMT" w:eastAsia="TimesNewRomanPSMT" w:hAnsi="TimesNewRomanPSMT"/>
            <w:color w:val="221F1F"/>
            <w:sz w:val="18"/>
          </w:rPr>
          <w:t xml:space="preserve">https:// </w:t>
        </w:r>
      </w:hyperlink>
      <w:r>
        <w:tab/>
      </w:r>
      <w:hyperlink r:id="rId86" w:history="1">
        <w:r>
          <w:rPr>
            <w:rFonts w:ascii="TimesNewRomanPSMT" w:eastAsia="TimesNewRomanPSMT" w:hAnsi="TimesNewRomanPSMT"/>
            <w:color w:val="221F1F"/>
            <w:sz w:val="18"/>
          </w:rPr>
          <w:t xml:space="preserve">doi.org/10.1146/annurev.publhealth.27.021405.102113 </w:t>
        </w:r>
      </w:hyperlink>
      <w:r>
        <w:br/>
      </w:r>
      <w:r>
        <w:rPr>
          <w:rFonts w:ascii="TimesNewRomanPSMT" w:eastAsia="TimesNewRomanPSMT" w:hAnsi="TimesNewRomanPSMT"/>
          <w:color w:val="221F1F"/>
          <w:sz w:val="18"/>
        </w:rPr>
        <w:t xml:space="preserve">Zamora, I., Williams, M. E., Higareda, M., Wheeler, B. Y., &amp; </w:t>
      </w:r>
      <w:r>
        <w:tab/>
      </w:r>
      <w:r>
        <w:rPr>
          <w:rFonts w:ascii="TimesNewRomanPSMT" w:eastAsia="TimesNewRomanPSMT" w:hAnsi="TimesNewRomanPSMT"/>
          <w:color w:val="221F1F"/>
          <w:sz w:val="18"/>
        </w:rPr>
        <w:t xml:space="preserve">Levitt, P. (2016). Brief report: Recruitment and retention of </w:t>
      </w:r>
      <w:r>
        <w:tab/>
      </w:r>
      <w:r>
        <w:rPr>
          <w:rFonts w:ascii="TimesNewRomanPSMT" w:eastAsia="TimesNewRomanPSMT" w:hAnsi="TimesNewRomanPSMT"/>
          <w:color w:val="221F1F"/>
          <w:sz w:val="18"/>
        </w:rPr>
        <w:t xml:space="preserve">minority children for autism research. </w:t>
      </w:r>
      <w:r>
        <w:rPr>
          <w:rFonts w:ascii="TimesNewRomanPS" w:eastAsia="TimesNewRomanPS" w:hAnsi="TimesNewRomanPS"/>
          <w:i/>
          <w:color w:val="221F1F"/>
          <w:sz w:val="18"/>
        </w:rPr>
        <w:t xml:space="preserve">Journal of Autism and </w:t>
      </w:r>
      <w:r>
        <w:tab/>
      </w:r>
      <w:r>
        <w:rPr>
          <w:rFonts w:ascii="TimesNewRomanPS" w:eastAsia="TimesNewRomanPS" w:hAnsi="TimesNewRomanPS"/>
          <w:i/>
          <w:color w:val="221F1F"/>
          <w:sz w:val="18"/>
        </w:rPr>
        <w:t>Developmental Disorders</w:t>
      </w:r>
      <w:r>
        <w:rPr>
          <w:rFonts w:ascii="TimesNewRomanPSMT" w:eastAsia="TimesNewRomanPSMT" w:hAnsi="TimesNewRomanPSMT"/>
          <w:color w:val="221F1F"/>
          <w:sz w:val="18"/>
        </w:rPr>
        <w:t xml:space="preserve">, </w:t>
      </w:r>
      <w:r>
        <w:rPr>
          <w:rFonts w:ascii="TimesNewRomanPS" w:eastAsia="TimesNewRomanPS" w:hAnsi="TimesNewRomanPS"/>
          <w:i/>
          <w:color w:val="221F1F"/>
          <w:sz w:val="18"/>
        </w:rPr>
        <w:t>46</w:t>
      </w:r>
      <w:r>
        <w:rPr>
          <w:rFonts w:ascii="TimesNewRomanPSMT" w:eastAsia="TimesNewRomanPSMT" w:hAnsi="TimesNewRomanPSMT"/>
          <w:color w:val="221F1F"/>
          <w:sz w:val="18"/>
        </w:rPr>
        <w:t xml:space="preserve">(2), 698-703. </w:t>
      </w:r>
      <w:hyperlink r:id="rId87" w:history="1">
        <w:r>
          <w:rPr>
            <w:rFonts w:ascii="TimesNewRomanPSMT" w:eastAsia="TimesNewRomanPSMT" w:hAnsi="TimesNewRomanPSMT"/>
            <w:color w:val="221F1F"/>
            <w:sz w:val="18"/>
          </w:rPr>
          <w:t>https://doi.org/</w:t>
        </w:r>
      </w:hyperlink>
      <w:r>
        <w:rPr>
          <w:rFonts w:ascii="TimesNewRomanPSMT" w:eastAsia="TimesNewRomanPSMT" w:hAnsi="TimesNewRomanPSMT"/>
          <w:color w:val="221F1F"/>
          <w:sz w:val="18"/>
        </w:rPr>
        <w:t xml:space="preserve"> </w:t>
      </w:r>
    </w:p>
    <w:p w14:paraId="359A44F8" w14:textId="77777777" w:rsidR="00FA6DE4" w:rsidRDefault="00FA6DE4">
      <w:pPr>
        <w:sectPr w:rsidR="00FA6DE4">
          <w:type w:val="nextColumn"/>
          <w:pgSz w:w="12240" w:h="15840"/>
          <w:pgMar w:top="396" w:right="1194" w:bottom="1440" w:left="958" w:header="720" w:footer="720" w:gutter="0"/>
          <w:cols w:num="2" w:space="720" w:equalWidth="0">
            <w:col w:w="5034" w:space="0"/>
            <w:col w:w="5053" w:space="0"/>
          </w:cols>
          <w:docGrid w:linePitch="360"/>
        </w:sectPr>
      </w:pPr>
    </w:p>
    <w:p w14:paraId="7A54AB7E" w14:textId="77777777" w:rsidR="00FA6DE4" w:rsidRDefault="00000000">
      <w:pPr>
        <w:tabs>
          <w:tab w:val="left" w:pos="5512"/>
        </w:tabs>
        <w:autoSpaceDE w:val="0"/>
        <w:autoSpaceDN w:val="0"/>
        <w:spacing w:before="6" w:after="0" w:line="200" w:lineRule="exact"/>
        <w:ind w:left="322"/>
      </w:pPr>
      <w:hyperlink r:id="rId88" w:history="1">
        <w:r>
          <w:rPr>
            <w:rFonts w:ascii="TimesNewRomanPSMT" w:eastAsia="TimesNewRomanPSMT" w:hAnsi="TimesNewRomanPSMT"/>
            <w:color w:val="221F1F"/>
            <w:sz w:val="18"/>
          </w:rPr>
          <w:t xml:space="preserve">org/10.1111/phn.12014 </w:t>
        </w:r>
      </w:hyperlink>
      <w:r>
        <w:tab/>
      </w:r>
      <w:hyperlink r:id="rId89" w:history="1">
        <w:r>
          <w:rPr>
            <w:rFonts w:ascii="TimesNewRomanPSMT" w:eastAsia="TimesNewRomanPSMT" w:hAnsi="TimesNewRomanPSMT"/>
            <w:color w:val="221F1F"/>
            <w:sz w:val="18"/>
          </w:rPr>
          <w:t>10.1007/s10803-015-2603-6</w:t>
        </w:r>
      </w:hyperlink>
    </w:p>
    <w:sectPr w:rsidR="00FA6DE4" w:rsidSect="00034616">
      <w:type w:val="continuous"/>
      <w:pgSz w:w="12240" w:h="15840"/>
      <w:pgMar w:top="396" w:right="1194" w:bottom="1440" w:left="958" w:header="720" w:footer="720" w:gutter="0"/>
      <w:cols w:space="720" w:equalWidth="0">
        <w:col w:w="1008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GillSansMTPro">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athematicalPiLTSt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361033">
    <w:abstractNumId w:val="8"/>
  </w:num>
  <w:num w:numId="2" w16cid:durableId="1102459076">
    <w:abstractNumId w:val="6"/>
  </w:num>
  <w:num w:numId="3" w16cid:durableId="895311776">
    <w:abstractNumId w:val="5"/>
  </w:num>
  <w:num w:numId="4" w16cid:durableId="1556309533">
    <w:abstractNumId w:val="4"/>
  </w:num>
  <w:num w:numId="5" w16cid:durableId="1728796332">
    <w:abstractNumId w:val="7"/>
  </w:num>
  <w:num w:numId="6" w16cid:durableId="1204757096">
    <w:abstractNumId w:val="3"/>
  </w:num>
  <w:num w:numId="7" w16cid:durableId="1946502937">
    <w:abstractNumId w:val="2"/>
  </w:num>
  <w:num w:numId="8" w16cid:durableId="731540019">
    <w:abstractNumId w:val="1"/>
  </w:num>
  <w:num w:numId="9" w16cid:durableId="98929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FF5"/>
    <w:rsid w:val="0006063C"/>
    <w:rsid w:val="0015074B"/>
    <w:rsid w:val="0029639D"/>
    <w:rsid w:val="00326F90"/>
    <w:rsid w:val="00AA1D8D"/>
    <w:rsid w:val="00B47730"/>
    <w:rsid w:val="00CB0664"/>
    <w:rsid w:val="00FA6D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2D91F65-9F14-4E0E-B827-12700DE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ewresearch.org/fact-tank/2019/05/07/digital-divide-persists-even-as-lower-income-americans-make-gains-in-tech-adoption/" TargetMode="External"/><Relationship Id="rId21" Type="http://schemas.openxmlformats.org/officeDocument/2006/relationships/image" Target="media/image9.png"/><Relationship Id="rId42" Type="http://schemas.openxmlformats.org/officeDocument/2006/relationships/hyperlink" Target="https://doi.org/10.1016/j.puhe.2015.04.001" TargetMode="External"/><Relationship Id="rId47" Type="http://schemas.openxmlformats.org/officeDocument/2006/relationships/hyperlink" Target="https://doi.org/10.1353/hpu.2007.0008" TargetMode="External"/><Relationship Id="rId63" Type="http://schemas.openxmlformats.org/officeDocument/2006/relationships/hyperlink" Target="https://doi.org/10.1053/jpdn.2001.20552" TargetMode="External"/><Relationship Id="rId68" Type="http://schemas.openxmlformats.org/officeDocument/2006/relationships/hyperlink" Target="https://doi.org/10.1097/00005082-200605000-00009" TargetMode="External"/><Relationship Id="rId84" Type="http://schemas.openxmlformats.org/officeDocument/2006/relationships/hyperlink" Target="https://doi.org/10.1111/phn.12014" TargetMode="External"/><Relationship Id="rId89" Type="http://schemas.openxmlformats.org/officeDocument/2006/relationships/hyperlink" Target="https://doi.org/10.1007/s10803-015-2603-6" TargetMode="External"/><Relationship Id="rId16" Type="http://schemas.openxmlformats.org/officeDocument/2006/relationships/hyperlink" Target="mailto:ywang95@kent.edu" TargetMode="External"/><Relationship Id="rId11" Type="http://schemas.openxmlformats.org/officeDocument/2006/relationships/hyperlink" Target="http://crossmark.crossref.org/dialog/?doi=10.1177%2F1043659620952526&amp;domain=pdf&amp;date_stamp=2020-08-27" TargetMode="External"/><Relationship Id="rId32" Type="http://schemas.openxmlformats.org/officeDocument/2006/relationships/hyperlink" Target="https://doi.org/10.1093/her/cym053" TargetMode="External"/><Relationship Id="rId37" Type="http://schemas.openxmlformats.org/officeDocument/2006/relationships/hyperlink" Target="https://doi.org/10.1186/s13063-015-1089-z" TargetMode="External"/><Relationship Id="rId53" Type="http://schemas.openxmlformats.org/officeDocument/2006/relationships/hyperlink" Target="http://www.pewinternet.org/fact-sheet/mobile/" TargetMode="External"/><Relationship Id="rId58" Type="http://schemas.openxmlformats.org/officeDocument/2006/relationships/hyperlink" Target="https://doi.org/10.1016/j.chb.2016.02.006" TargetMode="External"/><Relationship Id="rId74" Type="http://schemas.openxmlformats.org/officeDocument/2006/relationships/hyperlink" Target="https://www.healthypeople.gov/2020/About-Healthy-People/Development-Healthy-People-2030/Framework" TargetMode="External"/><Relationship Id="rId79" Type="http://schemas.openxmlformats.org/officeDocument/2006/relationships/hyperlink" Target="https://doi.org/10.1016/j.jneb.2014.06.004"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journals.sagepub.com/home/tcn" TargetMode="External"/><Relationship Id="rId22" Type="http://schemas.openxmlformats.org/officeDocument/2006/relationships/hyperlink" Target="https://orcid.org/0000-0001-8895-528X" TargetMode="External"/><Relationship Id="rId27" Type="http://schemas.openxmlformats.org/officeDocument/2006/relationships/hyperlink" Target="https://www.pewresearch.org/fact-tank/2019/05/07/digital-divide-persists-even-as-lower-income-americans-make-gains-in-tech-adoption/" TargetMode="External"/><Relationship Id="rId30" Type="http://schemas.openxmlformats.org/officeDocument/2006/relationships/hyperlink" Target="https://doi.org/10.1188/12.ONF.E434-E442" TargetMode="External"/><Relationship Id="rId35" Type="http://schemas.openxmlformats.org/officeDocument/2006/relationships/hyperlink" Target="https://www.census.gov/content/dam/Census/library/publications/2015/demo/p25-1143.pdf" TargetMode="External"/><Relationship Id="rId43" Type="http://schemas.openxmlformats.org/officeDocument/2006/relationships/hyperlink" Target="https://doi.org/10.1111/cts.12285" TargetMode="External"/><Relationship Id="rId48" Type="http://schemas.openxmlformats.org/officeDocument/2006/relationships/hyperlink" Target="https://doi.org/10.1353/hpu.2007.0008" TargetMode="External"/><Relationship Id="rId56" Type="http://schemas.openxmlformats.org/officeDocument/2006/relationships/hyperlink" Target="https://doi.org/10.1177/1524839911405842" TargetMode="External"/><Relationship Id="rId64" Type="http://schemas.openxmlformats.org/officeDocument/2006/relationships/hyperlink" Target="https://grants.nih.gov/grants/funding/women_min/guidelines.htm" TargetMode="External"/><Relationship Id="rId69" Type="http://schemas.openxmlformats.org/officeDocument/2006/relationships/hyperlink" Target="https://doi.org/10.1097/00005082-200605000-00009" TargetMode="External"/><Relationship Id="rId77" Type="http://schemas.openxmlformats.org/officeDocument/2006/relationships/hyperlink" Target="http://education.ohio.gov/getattachment/Topics/Data/Frequently-Requested-Data/Enrollment-Data/oct_hdcnt_fy18.xls.aspx?lang=en-US" TargetMode="External"/><Relationship Id="rId8" Type="http://schemas.openxmlformats.org/officeDocument/2006/relationships/hyperlink" Target="http://crossmark.crossref.org/dialog/?doi=10.1177%2F1043659620952526&amp;domain=pdf&amp;date_stamp=2020-08-27" TargetMode="External"/><Relationship Id="rId51" Type="http://schemas.openxmlformats.org/officeDocument/2006/relationships/hyperlink" Target="https://doi.org/10.2105/AJPH.2013.301706" TargetMode="External"/><Relationship Id="rId72" Type="http://schemas.openxmlformats.org/officeDocument/2006/relationships/hyperlink" Target="https://www.healthypeople.gov/2020/About-Healthy-People/Development-Healthy-People-2030/Framework" TargetMode="External"/><Relationship Id="rId80" Type="http://schemas.openxmlformats.org/officeDocument/2006/relationships/hyperlink" Target="https://doi.org/10.18865/ed.26.3.435" TargetMode="External"/><Relationship Id="rId85" Type="http://schemas.openxmlformats.org/officeDocument/2006/relationships/hyperlink" Target="https://doi.org/10.1146/annurev.publhealth.27.021405.102113"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pewresearch.org/fact-tank/2019/05/07/digital-divide-persists-even-as-lower-income-americans-make-gains-in-tech-adoption/" TargetMode="External"/><Relationship Id="rId33" Type="http://schemas.openxmlformats.org/officeDocument/2006/relationships/hyperlink" Target="https://doi.org/10.1177/0272989X13497264" TargetMode="External"/><Relationship Id="rId38" Type="http://schemas.openxmlformats.org/officeDocument/2006/relationships/hyperlink" Target="https://doi.org/10.1111/j.1475-6773.2012.01386.x" TargetMode="External"/><Relationship Id="rId46" Type="http://schemas.openxmlformats.org/officeDocument/2006/relationships/hyperlink" Target="https://www.pewresearch.org/fact-tank/2019/08/20/smartphones-help-blacks-hispanics-bridge-some-but-not-all-digital-gaps-with-whites/" TargetMode="External"/><Relationship Id="rId59" Type="http://schemas.openxmlformats.org/officeDocument/2006/relationships/hyperlink" Target="https://doi.org/10.1093/jpepsy/jsn122" TargetMode="External"/><Relationship Id="rId67" Type="http://schemas.openxmlformats.org/officeDocument/2006/relationships/hyperlink" Target="https://grants.nih.gov/grants/funding/women_min/guidelines.htm" TargetMode="External"/><Relationship Id="rId20" Type="http://schemas.openxmlformats.org/officeDocument/2006/relationships/image" Target="media/image8.png"/><Relationship Id="rId41" Type="http://schemas.openxmlformats.org/officeDocument/2006/relationships/hyperlink" Target="https://doi.org/10.1016/j.puhe.2015.04.001" TargetMode="External"/><Relationship Id="rId54" Type="http://schemas.openxmlformats.org/officeDocument/2006/relationships/hyperlink" Target="http://www.pewinternet.org/fact-sheet/mobile/" TargetMode="External"/><Relationship Id="rId62" Type="http://schemas.openxmlformats.org/officeDocument/2006/relationships/hyperlink" Target="https://doi.org/10.1007/s12529-013-9347-5" TargetMode="External"/><Relationship Id="rId70" Type="http://schemas.openxmlformats.org/officeDocument/2006/relationships/hyperlink" Target="https://doi.org/10.1016/j.cct.2011.01.007" TargetMode="External"/><Relationship Id="rId75" Type="http://schemas.openxmlformats.org/officeDocument/2006/relationships/hyperlink" Target="http://education.ohio.gov/getattachment/Topics/Data/Frequently-Requested-Data/Enrollment-Data/oct_hdcnt_fy18.xls.aspx?lang=en-US" TargetMode="External"/><Relationship Id="rId83" Type="http://schemas.openxmlformats.org/officeDocument/2006/relationships/hyperlink" Target="http://www.census.gov/quickfacts/table/PST045215/00" TargetMode="External"/><Relationship Id="rId88" Type="http://schemas.openxmlformats.org/officeDocument/2006/relationships/hyperlink" Target="https://doi.org/10.1111/phn.12014"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doi.org/10.1080/13557858.2016.1246427" TargetMode="External"/><Relationship Id="rId28" Type="http://schemas.openxmlformats.org/officeDocument/2006/relationships/hyperlink" Target="https://doi.org/10.1177/2150131917697439" TargetMode="External"/><Relationship Id="rId36" Type="http://schemas.openxmlformats.org/officeDocument/2006/relationships/hyperlink" Target="https://www.census.gov/content/dam/Census/library/publications/2015/demo/p25-1143.pdf" TargetMode="External"/><Relationship Id="rId49" Type="http://schemas.openxmlformats.org/officeDocument/2006/relationships/hyperlink" Target="https://doi.org/10.2105/AJPH.2011.300279" TargetMode="External"/><Relationship Id="rId57" Type="http://schemas.openxmlformats.org/officeDocument/2006/relationships/hyperlink" Target="https://doi.org/10.1177/1524839911405842" TargetMode="External"/><Relationship Id="rId10" Type="http://schemas.openxmlformats.org/officeDocument/2006/relationships/hyperlink" Target="http://crossmark.crossref.org/dialog/?doi=10.1177%2F1043659620952526&amp;domain=pdf&amp;date_stamp=2020-08-27" TargetMode="External"/><Relationship Id="rId31" Type="http://schemas.openxmlformats.org/officeDocument/2006/relationships/hyperlink" Target="https://doi.org/10.1188/12.ONF.E434-E442" TargetMode="External"/><Relationship Id="rId44" Type="http://schemas.openxmlformats.org/officeDocument/2006/relationships/hyperlink" Target="https://www.pewresearch.org/fact-tank/2019/08/20/smartphones-help-blacks-hispanics-bridge-some-but-not-all-digital-gaps-with-whites/" TargetMode="External"/><Relationship Id="rId52" Type="http://schemas.openxmlformats.org/officeDocument/2006/relationships/hyperlink" Target="https://doi.org/10.1080/13645579.2014.931201" TargetMode="External"/><Relationship Id="rId60" Type="http://schemas.openxmlformats.org/officeDocument/2006/relationships/hyperlink" Target="https://doi.org/10.1016/j.apnr.2007.03.003" TargetMode="External"/><Relationship Id="rId65" Type="http://schemas.openxmlformats.org/officeDocument/2006/relationships/hyperlink" Target="https://doi.org/10.1007/s12529-013-9347-5" TargetMode="External"/><Relationship Id="rId73" Type="http://schemas.openxmlformats.org/officeDocument/2006/relationships/hyperlink" Target="https://www.healthypeople.gov/2020/About-Healthy-People/Development-Healthy-People-2030/Framework" TargetMode="External"/><Relationship Id="rId78" Type="http://schemas.openxmlformats.org/officeDocument/2006/relationships/hyperlink" Target="https://doi.org/10.1177/0049124115626176" TargetMode="External"/><Relationship Id="rId81" Type="http://schemas.openxmlformats.org/officeDocument/2006/relationships/hyperlink" Target="https://doi.org/10.1177/0017896911411766" TargetMode="External"/><Relationship Id="rId86" Type="http://schemas.openxmlformats.org/officeDocument/2006/relationships/hyperlink" Target="https://doi.org/10.1146/annurev.publhealth.27.021405.102113" TargetMode="External"/><Relationship Id="rId4" Type="http://schemas.openxmlformats.org/officeDocument/2006/relationships/settings" Target="settings.xml"/><Relationship Id="rId9" Type="http://schemas.openxmlformats.org/officeDocument/2006/relationships/hyperlink" Target="http://crossmark.crossref.org/dialog/?doi=10.1177%2F1043659620952526&amp;domain=pdf&amp;date_stamp=2020-08-27" TargetMode="External"/><Relationship Id="rId13" Type="http://schemas.openxmlformats.org/officeDocument/2006/relationships/hyperlink" Target="https://us.sagepub.com/en-us/journals-permissions" TargetMode="External"/><Relationship Id="rId18" Type="http://schemas.openxmlformats.org/officeDocument/2006/relationships/image" Target="media/image6.png"/><Relationship Id="rId39" Type="http://schemas.openxmlformats.org/officeDocument/2006/relationships/hyperlink" Target="https://doi.org/10.1370/afm.1426" TargetMode="External"/><Relationship Id="rId34" Type="http://schemas.openxmlformats.org/officeDocument/2006/relationships/hyperlink" Target="https://www.census.gov/content/dam/Census/library/publications/2015/demo/p25-1143.pdf" TargetMode="External"/><Relationship Id="rId50" Type="http://schemas.openxmlformats.org/officeDocument/2006/relationships/hyperlink" Target="https://doi.org/10.2105/AJPH.2011.300279" TargetMode="External"/><Relationship Id="rId55" Type="http://schemas.openxmlformats.org/officeDocument/2006/relationships/hyperlink" Target="https://doi.org/10.1001/jama.2011.1544" TargetMode="External"/><Relationship Id="rId76" Type="http://schemas.openxmlformats.org/officeDocument/2006/relationships/hyperlink" Target="http://education.ohio.gov/getattachment/Topics/Data/Frequently-Requested-Data/Enrollment-Data/oct_hdcnt_fy18.xls.aspx?lang=en-US" TargetMode="External"/><Relationship Id="rId7" Type="http://schemas.openxmlformats.org/officeDocument/2006/relationships/image" Target="media/image2.png"/><Relationship Id="rId71" Type="http://schemas.openxmlformats.org/officeDocument/2006/relationships/hyperlink" Target="https://doi.org/10.1016/j.cct.2011.01.007" TargetMode="External"/><Relationship Id="rId2" Type="http://schemas.openxmlformats.org/officeDocument/2006/relationships/numbering" Target="numbering.xml"/><Relationship Id="rId29" Type="http://schemas.openxmlformats.org/officeDocument/2006/relationships/hyperlink" Target="https://doi.org/10.1177/2150131917697439" TargetMode="External"/><Relationship Id="rId24" Type="http://schemas.openxmlformats.org/officeDocument/2006/relationships/hyperlink" Target="https://doi.org/10.1080/13557858.2016.1246427" TargetMode="External"/><Relationship Id="rId40" Type="http://schemas.openxmlformats.org/officeDocument/2006/relationships/hyperlink" Target="https://doi.org/10.1370/afm.1426" TargetMode="External"/><Relationship Id="rId45" Type="http://schemas.openxmlformats.org/officeDocument/2006/relationships/hyperlink" Target="https://www.pewresearch.org/fact-tank/2019/08/20/smartphones-help-blacks-hispanics-bridge-some-but-not-all-digital-gaps-with-whites/" TargetMode="External"/><Relationship Id="rId66" Type="http://schemas.openxmlformats.org/officeDocument/2006/relationships/hyperlink" Target="https://doi.org/10.1111/ajco.12818" TargetMode="External"/><Relationship Id="rId87" Type="http://schemas.openxmlformats.org/officeDocument/2006/relationships/hyperlink" Target="https://doi.org/10.1007/s10803-015-2603-6" TargetMode="External"/><Relationship Id="rId61" Type="http://schemas.openxmlformats.org/officeDocument/2006/relationships/hyperlink" Target="https://doi.org/10.1093/jpepsy/jsn122" TargetMode="External"/><Relationship Id="rId82" Type="http://schemas.openxmlformats.org/officeDocument/2006/relationships/hyperlink" Target="http://www.census.gov/quickfacts/table/PST045215/00"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6759</Words>
  <Characters>38527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Nasir Dawood</cp:lastModifiedBy>
  <cp:revision>2</cp:revision>
  <dcterms:created xsi:type="dcterms:W3CDTF">2013-12-23T23:15:00Z</dcterms:created>
  <dcterms:modified xsi:type="dcterms:W3CDTF">2023-11-13T07:57:00Z</dcterms:modified>
  <cp:category/>
</cp:coreProperties>
</file>