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69269" w14:textId="217DEF66" w:rsidR="00DC4643" w:rsidRPr="00DC4643" w:rsidRDefault="00DC4643" w:rsidP="00DC4643">
      <w:pPr>
        <w:shd w:val="clear" w:color="auto" w:fill="FFFFFF"/>
        <w:bidi/>
        <w:spacing w:after="213" w:line="240" w:lineRule="auto"/>
        <w:outlineLvl w:val="0"/>
        <w:rPr>
          <w:rFonts w:ascii="Segoe UI" w:eastAsia="Times New Roman" w:hAnsi="Segoe UI" w:cs="B Zar"/>
          <w:b/>
          <w:bCs/>
          <w:color w:val="0D0D0D"/>
          <w:kern w:val="36"/>
          <w:sz w:val="61"/>
          <w:szCs w:val="61"/>
        </w:rPr>
      </w:pPr>
      <w:r w:rsidRPr="00DC4643">
        <w:rPr>
          <w:rFonts w:ascii="Segoe UI" w:eastAsia="Times New Roman" w:hAnsi="Segoe UI" w:cs="B Zar"/>
          <w:b/>
          <w:bCs/>
          <w:color w:val="0D0D0D"/>
          <w:kern w:val="36"/>
          <w:sz w:val="61"/>
          <w:szCs w:val="61"/>
          <w:rtl/>
        </w:rPr>
        <w:t xml:space="preserve">مقایسه </w:t>
      </w:r>
      <w:r w:rsidRPr="00DC4643">
        <w:rPr>
          <w:rFonts w:ascii="Segoe UI" w:eastAsia="Times New Roman" w:hAnsi="Segoe UI" w:cs="B Zar" w:hint="cs"/>
          <w:b/>
          <w:bCs/>
          <w:color w:val="0D0D0D"/>
          <w:kern w:val="36"/>
          <w:sz w:val="61"/>
          <w:szCs w:val="61"/>
          <w:rtl/>
        </w:rPr>
        <w:t>مدل‌های</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اعتبارسنجی</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سنتی</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و</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الگوریتم‌های</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نوین</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یادگیری</w:t>
      </w:r>
      <w:r w:rsidRPr="00DC4643">
        <w:rPr>
          <w:rFonts w:ascii="Segoe UI" w:eastAsia="Times New Roman" w:hAnsi="Segoe UI" w:cs="B Zar"/>
          <w:b/>
          <w:bCs/>
          <w:color w:val="0D0D0D"/>
          <w:kern w:val="36"/>
          <w:sz w:val="61"/>
          <w:szCs w:val="61"/>
          <w:rtl/>
        </w:rPr>
        <w:t xml:space="preserve"> </w:t>
      </w:r>
      <w:r w:rsidRPr="00DC4643">
        <w:rPr>
          <w:rFonts w:ascii="Segoe UI" w:eastAsia="Times New Roman" w:hAnsi="Segoe UI" w:cs="B Zar" w:hint="cs"/>
          <w:b/>
          <w:bCs/>
          <w:color w:val="0D0D0D"/>
          <w:kern w:val="36"/>
          <w:sz w:val="61"/>
          <w:szCs w:val="61"/>
          <w:rtl/>
        </w:rPr>
        <w:t>ماشین</w:t>
      </w:r>
      <w:r>
        <w:rPr>
          <w:rFonts w:ascii="Segoe UI" w:eastAsia="Times New Roman" w:hAnsi="Segoe UI" w:cs="B Zar" w:hint="cs"/>
          <w:b/>
          <w:bCs/>
          <w:color w:val="0D0D0D"/>
          <w:kern w:val="36"/>
          <w:sz w:val="61"/>
          <w:szCs w:val="61"/>
          <w:rtl/>
        </w:rPr>
        <w:t xml:space="preserve"> براساس گزارش بانک جهانی</w:t>
      </w:r>
    </w:p>
    <w:p w14:paraId="7A6B8F1F"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مقدمه</w:t>
      </w:r>
    </w:p>
    <w:p w14:paraId="0B5E9552" w14:textId="0675C90B"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اعتبارسنجی (ارزیابی اعتبار مشتریان) نقشی حیاتی در رشد اقتصادی و گسترش شمول مالی دارد و به بهبود دسترسی افراد و کسب‌وکارها به تسهیلات مالی کمک می‌کند</w:t>
      </w:r>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طی سال‌های اخیر، روش‌های اعتبارسنجی به‌طور چشمگیری متحول شده‌اند. مدل‌های سنتی آماری که برای دهه‌ها کاربرد داشته‌اند، جای خود را به روش‌های نوین مبتنی بر هوش مصنوعی و یادگیری ماشین می‌دهند</w:t>
      </w:r>
      <w:hyperlink r:id="rId5" w:anchor=":~:text=in%20sophistication%20in%20recent%20years,considered%20relevant%20for%20credit%20scoring"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w:t>
      </w:r>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 xml:space="preserve">این تحول به لطف دسترسی به داده‌های متنوع‌تر و قدرت محاسباتی بیشتر رخ داده و موجب شده است اعتبارسنجی از تصمیم ساده </w:t>
      </w:r>
      <w:r w:rsidRPr="00DC4643">
        <w:rPr>
          <w:rFonts w:ascii="Segoe UI" w:eastAsia="Times New Roman" w:hAnsi="Segoe UI" w:cs="B Zar" w:hint="cs"/>
          <w:color w:val="0D0D0D"/>
          <w:sz w:val="27"/>
          <w:szCs w:val="27"/>
          <w:rtl/>
        </w:rPr>
        <w:t>رد</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یا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قبول</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وام</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فراتر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رود</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حوزه‌هایی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مانند</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تعیین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نرخ</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بهره</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متناسب</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ریسک،</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تعیین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سقف</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اعتباری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بهبود</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تجربه</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مشتری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را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نیز</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دربرگیرد</w:t>
      </w:r>
      <w:hyperlink r:id="rId6" w:anchor=":~:text=evolved%20from%20the%20traditional%20decision,use%20of%20sophisticated%20credit%20scoring"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استفاده از الگوریتم‌های نوین هوشمند فرصت‌های تازه‌ای برای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افزایش شمول مالی، دقت بیشتر مدل‌ها و ارتقای کارایی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فراهم کرده است</w:t>
      </w:r>
      <w:hyperlink r:id="rId7" w:anchor=":~:text=The%20opportunities%20of%20using%20innovative,and%20potential%20for%20discrimination%20against"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با این حال،</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چالش‌هایی نظیر حفظ حریم خصوصی داده‌ها، انصاف و عدم تبعیض، و تبیین‌پذیری (شفافیت) مدل‌ها</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نیز پدیدار شده است</w:t>
      </w:r>
      <w:hyperlink r:id="rId8" w:anchor=":~:text=The%20use%20of%20innovative%20methods,That%20said%2C%20there"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در ادامه، بر اساس گزارش راهنمای بانک جهانی با عنوان</w:t>
      </w:r>
      <w:r w:rsidRPr="00DC4643">
        <w:rPr>
          <w:rFonts w:ascii="Calibri" w:eastAsia="Times New Roman" w:hAnsi="Calibri" w:cs="Calibri" w:hint="cs"/>
          <w:color w:val="0D0D0D"/>
          <w:sz w:val="27"/>
          <w:szCs w:val="27"/>
          <w:rtl/>
        </w:rPr>
        <w:t> </w:t>
      </w:r>
      <w:r>
        <w:rPr>
          <w:rFonts w:ascii="Segoe UI" w:eastAsia="Times New Roman" w:hAnsi="Segoe UI" w:cs="B Zar" w:hint="cs"/>
          <w:i/>
          <w:iCs/>
          <w:color w:val="0D0D0D"/>
          <w:sz w:val="27"/>
          <w:szCs w:val="27"/>
          <w:rtl/>
        </w:rPr>
        <w:t>(</w:t>
      </w:r>
      <w:r w:rsidRPr="00DC4643">
        <w:rPr>
          <w:rFonts w:ascii="Segoe UI" w:eastAsia="Times New Roman" w:hAnsi="Segoe UI" w:cs="B Zar"/>
          <w:i/>
          <w:iCs/>
          <w:color w:val="0D0D0D"/>
          <w:sz w:val="27"/>
          <w:szCs w:val="27"/>
          <w:rtl/>
        </w:rPr>
        <w:t>رویکردهای اعتبارسنجی</w:t>
      </w:r>
      <w:r>
        <w:rPr>
          <w:rFonts w:ascii="Segoe UI" w:eastAsia="Times New Roman" w:hAnsi="Segoe UI" w:cs="B Zar" w:hint="cs"/>
          <w:i/>
          <w:iCs/>
          <w:color w:val="0D0D0D"/>
          <w:sz w:val="27"/>
          <w:szCs w:val="27"/>
          <w:rtl/>
        </w:rPr>
        <w:t>)،</w:t>
      </w:r>
      <w:r w:rsidRPr="00DC4643">
        <w:rPr>
          <w:rFonts w:ascii="Segoe UI" w:eastAsia="Times New Roman" w:hAnsi="Segoe UI" w:cs="B Zar"/>
          <w:color w:val="0D0D0D"/>
          <w:sz w:val="27"/>
          <w:szCs w:val="27"/>
          <w:rtl/>
        </w:rPr>
        <w:t xml:space="preserve"> تفاوت‌های کلیدی میان مدل‌های سنتی و مدل‌های مدرن مبتنی بر هوش مصنوعی را بررسی می‌کنیم</w:t>
      </w:r>
      <w:r w:rsidRPr="00DC4643">
        <w:rPr>
          <w:rFonts w:ascii="Segoe UI" w:eastAsia="Times New Roman" w:hAnsi="Segoe UI" w:cs="B Zar"/>
          <w:color w:val="0D0D0D"/>
          <w:sz w:val="27"/>
          <w:szCs w:val="27"/>
        </w:rPr>
        <w:t>.</w:t>
      </w:r>
    </w:p>
    <w:p w14:paraId="46932469"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مدل‌های سنتی اعتبارسنجی</w:t>
      </w:r>
    </w:p>
    <w:p w14:paraId="15E89DC6" w14:textId="738667C8"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مدل‌های سنتی اعتبارسنجی عمدتاً بر تکنیک‌های آماری کلاسیک تکیه دارند. متداول‌ترین روش‌ها شامل</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رگرسیون خطی یا لجستیک، تحلیل تبعیضی (ممیزی)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 مدل‌های مبتنی بر قضاوت کارشناسی هستن</w:t>
      </w:r>
      <w:r>
        <w:rPr>
          <w:rFonts w:ascii="Segoe UI" w:eastAsia="Times New Roman" w:hAnsi="Segoe UI" w:cs="B Zar" w:hint="cs"/>
          <w:color w:val="0D0D0D"/>
          <w:sz w:val="27"/>
          <w:szCs w:val="27"/>
          <w:rtl/>
        </w:rPr>
        <w:t>د.</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این مدل‌ها با استفاده از متغیرهای مالی و اعتباری سنتی (مانند درآمد، سابقه وام، پرداخت‌های معوق و نسبت‌های مالی) خطر نکول یا عدم بازپرداخت را پیش‌بینی می‌کنند. برای مثال، رگرسیون لجستیک با بهره‌گیری از داده‌های گذشته به‌سادگی قابل توضیح است و احتمال نکول وام را بر اساس ترکیب خطی متغیرهای ورودی تخمین می‌زند</w:t>
      </w:r>
      <w:hyperlink r:id="rId9" w:anchor=":~:text=Linear%20Regression%20Regression%20analysis%20is,the%20sum%20of%20squared%20residuals"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همچنین</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تحلیل تبعیضی خطی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از نخستین روش‌هایی بود که برای تفکیک مشتریان خوش‌حساب و بدحساب به‌کار گرفته شد و مدل </w:t>
      </w:r>
      <w:r w:rsidRPr="00DC4643">
        <w:rPr>
          <w:rFonts w:ascii="Segoe UI" w:eastAsia="Times New Roman" w:hAnsi="Segoe UI" w:cs="B Zar"/>
          <w:color w:val="0D0D0D"/>
          <w:sz w:val="27"/>
          <w:szCs w:val="27"/>
          <w:rtl/>
        </w:rPr>
        <w:lastRenderedPageBreak/>
        <w:t>معروف</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Pr>
        <w:t>Z-</w:t>
      </w:r>
      <w:r w:rsidRPr="00DC4643">
        <w:rPr>
          <w:rFonts w:ascii="Segoe UI" w:eastAsia="Times New Roman" w:hAnsi="Segoe UI" w:cs="B Zar"/>
          <w:b/>
          <w:bCs/>
          <w:color w:val="0D0D0D"/>
          <w:sz w:val="27"/>
          <w:szCs w:val="27"/>
          <w:rtl/>
        </w:rPr>
        <w:t>اسکور آلتمن</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(سال </w:t>
      </w:r>
      <w:r w:rsidRPr="00DC4643">
        <w:rPr>
          <w:rFonts w:ascii="Segoe UI" w:eastAsia="Times New Roman" w:hAnsi="Segoe UI" w:cs="B Zar"/>
          <w:color w:val="0D0D0D"/>
          <w:sz w:val="27"/>
          <w:szCs w:val="27"/>
          <w:rtl/>
          <w:lang w:bidi="fa-IR"/>
        </w:rPr>
        <w:t xml:space="preserve">۱۹۶۸) </w:t>
      </w:r>
      <w:r w:rsidRPr="00DC4643">
        <w:rPr>
          <w:rFonts w:ascii="Segoe UI" w:eastAsia="Times New Roman" w:hAnsi="Segoe UI" w:cs="B Zar"/>
          <w:color w:val="0D0D0D"/>
          <w:sz w:val="27"/>
          <w:szCs w:val="27"/>
          <w:rtl/>
        </w:rPr>
        <w:t>بر همین اساس شکل گرفت که هنوز در عمل مورد استفاده قرار می‌گیرد</w:t>
      </w:r>
      <w:hyperlink r:id="rId10" w:anchor=":~:text=In%20default%20prediction%2C%20linear%20discriminant,2X1"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مزیت اصلی این روش‌های سنتی آن است که ساختار نسبتاً ساده‌ای دارند و رفتار هر متغیر در نتیجه نهایی تا حدود زیادی شفاف است؛ به بیان دیگر، کارشناسان و حتی مشتریان می‌توانند منطق تصمیم‌گیری این مدل‌ها را درک کنند</w:t>
      </w:r>
      <w:r w:rsidRPr="00DC4643">
        <w:rPr>
          <w:rFonts w:ascii="Segoe UI" w:eastAsia="Times New Roman" w:hAnsi="Segoe UI" w:cs="B Zar"/>
          <w:color w:val="0D0D0D"/>
          <w:sz w:val="27"/>
          <w:szCs w:val="27"/>
        </w:rPr>
        <w:t>.</w:t>
      </w:r>
    </w:p>
    <w:p w14:paraId="17F96F4D"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مدل‌های نوین مبتنی بر هوش مصنوعی در اعتبارسنجی</w:t>
      </w:r>
    </w:p>
    <w:p w14:paraId="572FA38E" w14:textId="31759070" w:rsidR="00DC4643" w:rsidRPr="00DC4643" w:rsidRDefault="00DC4643" w:rsidP="00DC4643">
      <w:pPr>
        <w:shd w:val="clear" w:color="auto" w:fill="FFFFFF"/>
        <w:bidi/>
        <w:spacing w:beforeAutospacing="1" w:after="0" w:afterAutospacing="1" w:line="240" w:lineRule="auto"/>
        <w:jc w:val="both"/>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نسل جدید مدل‌های اعتبارسنجی از</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هوش مصنوعی</w:t>
      </w:r>
      <w:r w:rsidRPr="00DC4643">
        <w:rPr>
          <w:rFonts w:ascii="Segoe UI" w:eastAsia="Times New Roman" w:hAnsi="Segoe UI" w:cs="B Zar"/>
          <w:b/>
          <w:bCs/>
          <w:color w:val="0D0D0D"/>
          <w:sz w:val="27"/>
          <w:szCs w:val="27"/>
        </w:rPr>
        <w:t xml:space="preserve"> (AI)</w:t>
      </w:r>
      <w:r w:rsidRPr="00DC4643">
        <w:rPr>
          <w:rFonts w:ascii="Segoe UI" w:eastAsia="Times New Roman" w:hAnsi="Segoe UI" w:cs="B Zar"/>
          <w:color w:val="0D0D0D"/>
          <w:sz w:val="27"/>
          <w:szCs w:val="27"/>
        </w:rPr>
        <w:t> </w:t>
      </w:r>
      <w:r w:rsidRPr="00DC4643">
        <w:rPr>
          <w:rFonts w:ascii="Segoe UI" w:eastAsia="Times New Roman" w:hAnsi="Segoe UI" w:cs="B Zar"/>
          <w:color w:val="0D0D0D"/>
          <w:sz w:val="27"/>
          <w:szCs w:val="27"/>
          <w:rtl/>
        </w:rPr>
        <w:t>و الگوریتم‌های پیشرفته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یادگیری ماشین</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بهره می‌گیرند. از جمله </w:t>
      </w:r>
      <w:r w:rsidRPr="00DC4643">
        <w:rPr>
          <w:rFonts w:ascii="Segoe UI" w:eastAsia="Times New Roman" w:hAnsi="Segoe UI" w:cs="B Zar" w:hint="cs"/>
          <w:color w:val="0D0D0D"/>
          <w:sz w:val="27"/>
          <w:szCs w:val="27"/>
          <w:rtl/>
        </w:rPr>
        <w:t>این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روش‌ها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می‌توان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جنگل تصادفی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Pr>
        <w:t>(</w:t>
      </w:r>
      <w:r w:rsidRPr="00DC4643">
        <w:rPr>
          <w:rFonts w:ascii="Segoe UI" w:eastAsia="Times New Roman" w:hAnsi="Segoe UI" w:cs="B Zar"/>
          <w:i/>
          <w:iCs/>
          <w:color w:val="0D0D0D"/>
          <w:sz w:val="27"/>
          <w:szCs w:val="27"/>
        </w:rPr>
        <w:t>Random Forest</w:t>
      </w:r>
      <w:r w:rsidRPr="00DC4643">
        <w:rPr>
          <w:rFonts w:ascii="Segoe UI" w:eastAsia="Times New Roman" w:hAnsi="Segoe UI" w:cs="B Zar"/>
          <w:color w:val="0D0D0D"/>
          <w:sz w:val="27"/>
          <w:szCs w:val="27"/>
        </w:rPr>
        <w:t>)</w:t>
      </w:r>
      <w:r w:rsidRPr="00DC4643">
        <w:rPr>
          <w:rFonts w:ascii="Segoe UI" w:eastAsia="Times New Roman" w:hAnsi="Segoe UI" w:cs="B Zar"/>
          <w:color w:val="0D0D0D"/>
          <w:sz w:val="27"/>
          <w:szCs w:val="27"/>
          <w:rtl/>
        </w:rPr>
        <w:t>،</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گرادیان بوستینگ</w:t>
      </w:r>
      <w:r w:rsidRPr="00DC4643">
        <w:rPr>
          <w:rFonts w:ascii="Segoe UI" w:eastAsia="Times New Roman" w:hAnsi="Segoe UI" w:cs="B Zar"/>
          <w:color w:val="0D0D0D"/>
          <w:sz w:val="27"/>
          <w:szCs w:val="27"/>
        </w:rPr>
        <w:t xml:space="preserve"> (</w:t>
      </w:r>
      <w:r w:rsidRPr="00DC4643">
        <w:rPr>
          <w:rFonts w:ascii="Segoe UI" w:eastAsia="Times New Roman" w:hAnsi="Segoe UI" w:cs="B Zar"/>
          <w:i/>
          <w:iCs/>
          <w:color w:val="0D0D0D"/>
          <w:sz w:val="27"/>
          <w:szCs w:val="27"/>
        </w:rPr>
        <w:t>Gradient Boosting</w:t>
      </w:r>
      <w:r w:rsidRPr="00DC4643">
        <w:rPr>
          <w:rFonts w:ascii="Segoe UI" w:eastAsia="Times New Roman" w:hAnsi="Segoe UI" w:cs="B Zar"/>
          <w:color w:val="0D0D0D"/>
          <w:sz w:val="27"/>
          <w:szCs w:val="27"/>
        </w:rPr>
        <w:t xml:space="preserve">) </w:t>
      </w:r>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و</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شبکه‌های عصبی عمیق</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Pr>
        <w:t>(</w:t>
      </w:r>
      <w:r w:rsidRPr="00DC4643">
        <w:rPr>
          <w:rFonts w:ascii="Segoe UI" w:eastAsia="Times New Roman" w:hAnsi="Segoe UI" w:cs="B Zar"/>
          <w:i/>
          <w:iCs/>
          <w:color w:val="0D0D0D"/>
          <w:sz w:val="27"/>
          <w:szCs w:val="27"/>
        </w:rPr>
        <w:t>Deep Neural Networks</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اشاره کر</w:t>
      </w:r>
      <w:r>
        <w:rPr>
          <w:rFonts w:ascii="Segoe UI" w:eastAsia="Times New Roman" w:hAnsi="Segoe UI" w:cs="B Zar" w:hint="cs"/>
          <w:color w:val="0D0D0D"/>
          <w:sz w:val="27"/>
          <w:szCs w:val="27"/>
          <w:rtl/>
        </w:rPr>
        <w:t xml:space="preserve">د. </w:t>
      </w:r>
      <w:r w:rsidRPr="00DC4643">
        <w:rPr>
          <w:rFonts w:ascii="Segoe UI" w:eastAsia="Times New Roman" w:hAnsi="Segoe UI" w:cs="B Zar"/>
          <w:color w:val="0D0D0D"/>
          <w:sz w:val="27"/>
          <w:szCs w:val="27"/>
          <w:rtl/>
        </w:rPr>
        <w:t>الگوریتم‌های یادشده قادرند الگوهای پیچیده و غیرخطی را در حجم عظیمی از داده‌ها شناسایی کنند و به همین دلیل در برخی موارد عملکرد پیش‌بینی بهتری نسبت به مدل‌های سنتی نشان می‌دهند. برای مثال، یک مدل جنگل تصادفی از ترکیب چندین درخت تصمیم برای بهبود دقت پیش‌بینی استفاده می‌کند و یک شبکه عصبی عمیق با الهام از ساختار مغز انسان می‌تواند روابط پنهان در داده‌های خام (مثل سوابق تراکنش یا رفتار آنلاین) را بیاموزد. این مدل‌های پیشرفته امکان استفاده از انواع داده‌های جدید (نظیر داده‌های موبایل یا شبکه‌های اجتماعی) را فراهم کرده‌اند و به وام‌دهندگان اجازه می‌دهند افرادی را که سابقه اعتباری رسمی ندارند نیز ارزیابی کنند</w:t>
      </w:r>
      <w:hyperlink r:id="rId11" w:anchor=":~:text=of%20a%20credit%20history%20leaves,consumers%20with%20short%20credit%20histories"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با این حال، پیچیدگی مدل‌های</w:t>
      </w:r>
      <w:r w:rsidRPr="00DC4643">
        <w:rPr>
          <w:rFonts w:ascii="Segoe UI" w:eastAsia="Times New Roman" w:hAnsi="Segoe UI" w:cs="B Zar"/>
          <w:color w:val="0D0D0D"/>
          <w:sz w:val="27"/>
          <w:szCs w:val="27"/>
        </w:rPr>
        <w:t xml:space="preserve"> AI </w:t>
      </w:r>
      <w:r w:rsidRPr="00DC4643">
        <w:rPr>
          <w:rFonts w:ascii="Segoe UI" w:eastAsia="Times New Roman" w:hAnsi="Segoe UI" w:cs="B Zar"/>
          <w:color w:val="0D0D0D"/>
          <w:sz w:val="27"/>
          <w:szCs w:val="27"/>
          <w:rtl/>
        </w:rPr>
        <w:t>به این معناست که اغلب به‌صورت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جعبه‌سیاه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عمل می‌کنند؛ یعنی تفسیر منطق تصمیم‌گیری آن‌ها برای انسان دشوار است</w:t>
      </w:r>
      <w:hyperlink r:id="rId12" w:anchor=":~:text=Deep%20neural%20networks%2C%20random%20forests%2C,the%20model%20predictions%20to%20help"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به علاوه، اجرای این الگوریتم‌ها نیازمند زیرساخت داده‌ای قوی و توان محاسباتی بالاست که ممکن است در همه بازارها به‌راحتی در دسترس نباشد</w:t>
      </w:r>
      <w:hyperlink r:id="rId13" w:anchor=":~:text=The%20guideline%20recognizes%20that%20the,required%20to%20execute%20the%20more"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با وجود این چالش‌ها، روند کلی صنعت به سوی بهره‌گیری بیشتر از مدل‌های یادگیری ماشین در اعتبارسنجی پیش می‌رود، چرا که ظرفیت بهبود دقت و پوشش مشتریان جدید را داراست</w:t>
      </w:r>
      <w:r w:rsidRPr="00DC4643">
        <w:rPr>
          <w:rFonts w:ascii="Segoe UI" w:eastAsia="Times New Roman" w:hAnsi="Segoe UI" w:cs="B Zar"/>
          <w:color w:val="0D0D0D"/>
          <w:sz w:val="27"/>
          <w:szCs w:val="27"/>
        </w:rPr>
        <w:t>.</w:t>
      </w:r>
    </w:p>
    <w:p w14:paraId="59A25C78"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مقایسه مزایا و محدودیت‌های کلیدی</w:t>
      </w:r>
    </w:p>
    <w:p w14:paraId="44C25849" w14:textId="77777777" w:rsidR="00DC4643" w:rsidRPr="00DC4643" w:rsidRDefault="00DC4643" w:rsidP="00DC4643">
      <w:pPr>
        <w:shd w:val="clear" w:color="auto" w:fill="FFFFFF"/>
        <w:bidi/>
        <w:spacing w:before="100" w:beforeAutospacing="1" w:after="10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در این بخش، تفاوت‌های اساسی مدل‌های سنتی و مدل‌های هوشمند در اعتبارسنجی را در چند محور کلیدی بررسی می‌کنیم</w:t>
      </w:r>
      <w:r w:rsidRPr="00DC4643">
        <w:rPr>
          <w:rFonts w:ascii="Segoe UI" w:eastAsia="Times New Roman" w:hAnsi="Segoe UI" w:cs="B Zar"/>
          <w:color w:val="0D0D0D"/>
          <w:sz w:val="27"/>
          <w:szCs w:val="27"/>
        </w:rPr>
        <w:t>:</w:t>
      </w:r>
    </w:p>
    <w:p w14:paraId="6EC1C98D" w14:textId="7E636794" w:rsidR="00DC4643" w:rsidRPr="00DC4643" w:rsidRDefault="00DC4643" w:rsidP="00DC4643">
      <w:pPr>
        <w:numPr>
          <w:ilvl w:val="0"/>
          <w:numId w:val="1"/>
        </w:numPr>
        <w:shd w:val="clear" w:color="auto" w:fill="FFFFFF"/>
        <w:bidi/>
        <w:spacing w:after="0"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دقت پیش‌بینی</w:t>
      </w:r>
      <w:r>
        <w:rPr>
          <w:rFonts w:ascii="Segoe UI" w:eastAsia="Times New Roman" w:hAnsi="Segoe UI" w:cs="B Zar" w:hint="cs"/>
          <w:b/>
          <w:bCs/>
          <w:color w:val="0D0D0D"/>
          <w:sz w:val="27"/>
          <w:szCs w:val="27"/>
          <w:rtl/>
        </w:rPr>
        <w:t xml:space="preserve">: </w:t>
      </w:r>
      <w:r w:rsidRPr="00DC4643">
        <w:rPr>
          <w:rFonts w:ascii="Segoe UI" w:eastAsia="Times New Roman" w:hAnsi="Segoe UI" w:cs="B Zar"/>
          <w:color w:val="0D0D0D"/>
          <w:sz w:val="27"/>
          <w:szCs w:val="27"/>
          <w:rtl/>
        </w:rPr>
        <w:t>مدل‌های مبتنی بر هوش مصنوعی عموماً توانسته‌اند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دقت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بالاتری در پیش‌بینی ریسک اعتباری حاصل کنند. ترکیب داده‌های متنوع و الگوریتم‌های پیچیده باعث می‌شود تصویر کامل‌تری از اعتبار متقاضی ارائه شود</w:t>
      </w:r>
      <w:hyperlink r:id="rId14" w:anchor=":~:text=A%20more%20accurate%20credit%20score,traditional%20credit%20scoring%2C%20existing%20borrowers"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 xml:space="preserve">به گزارش بانک جهانی، استفاده از الگوریتم‌های نوین کیفیت ارزیابی ریسک را بهبود </w:t>
      </w:r>
      <w:r w:rsidRPr="00DC4643">
        <w:rPr>
          <w:rFonts w:ascii="Segoe UI" w:eastAsia="Times New Roman" w:hAnsi="Segoe UI" w:cs="B Zar"/>
          <w:color w:val="0D0D0D"/>
          <w:sz w:val="27"/>
          <w:szCs w:val="27"/>
          <w:rtl/>
        </w:rPr>
        <w:lastRenderedPageBreak/>
        <w:t>می‌بخشد و امکان ارائه نرخ‌های بهره منصفانه‌تر به وام‌گیرندگان خوش‌سابقه را فراهم می‌کند</w:t>
      </w:r>
      <w:hyperlink r:id="rId15" w:anchor=":~:text=%28Proudman%202018%29,data%20sources%20that%20are%20collected"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در مقابل، مدل‌های سنتی با وجود سادگی، ممکن است الگوهای غیرخطی یا روابط پنهان در داده‌ها را به‌خوبی</w:t>
      </w:r>
      <w:r w:rsidRPr="00DC4643">
        <w:rPr>
          <w:rFonts w:ascii="Segoe UI" w:eastAsia="Times New Roman" w:hAnsi="Segoe UI" w:cs="B Zar"/>
          <w:color w:val="0D0D0D"/>
          <w:sz w:val="27"/>
          <w:szCs w:val="27"/>
        </w:rPr>
        <w:t xml:space="preserve"> </w:t>
      </w:r>
      <w:r>
        <w:rPr>
          <w:rFonts w:ascii="Segoe UI" w:eastAsia="Times New Roman" w:hAnsi="Segoe UI" w:cs="B Zar" w:hint="cs"/>
          <w:color w:val="0D0D0D"/>
          <w:sz w:val="27"/>
          <w:szCs w:val="27"/>
          <w:rtl/>
        </w:rPr>
        <w:t>شناسایی</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نکنند و از لحاظ دقت در سطح پایین‌تری قرار گیرند. با این حال، در بازارهایی که داده‌های کافی یا زیرساخت تحلیلی پیشرفته در دسترس نیست، همان روش‌های سنتی هنوز به‌عنوان استاندارد مورد استفاده قرار می‌گیرند</w:t>
      </w:r>
      <w:hyperlink r:id="rId16" w:anchor=":~:text=The%20guideline%20recognizes%20that%20the,required%20to%20execute%20the%20more"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w:t>
      </w:r>
    </w:p>
    <w:p w14:paraId="1B5E08AE" w14:textId="1DF56FC1" w:rsidR="00DC4643" w:rsidRPr="00DC4643" w:rsidRDefault="00DC4643" w:rsidP="00DC4643">
      <w:pPr>
        <w:numPr>
          <w:ilvl w:val="0"/>
          <w:numId w:val="1"/>
        </w:numPr>
        <w:shd w:val="clear" w:color="auto" w:fill="FFFFFF"/>
        <w:bidi/>
        <w:spacing w:after="0"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شفافیت و تبیین‌پذیری</w:t>
      </w:r>
      <w:r>
        <w:rPr>
          <w:rFonts w:ascii="Segoe UI" w:eastAsia="Times New Roman" w:hAnsi="Segoe UI" w:cs="B Zar" w:hint="cs"/>
          <w:b/>
          <w:bCs/>
          <w:color w:val="0D0D0D"/>
          <w:sz w:val="27"/>
          <w:szCs w:val="27"/>
          <w:rtl/>
        </w:rPr>
        <w:t>:</w:t>
      </w:r>
      <w:r w:rsidRPr="00DC4643">
        <w:rPr>
          <w:rFonts w:ascii="Segoe UI" w:eastAsia="Times New Roman" w:hAnsi="Segoe UI" w:cs="B Zar"/>
          <w:color w:val="0D0D0D"/>
          <w:sz w:val="27"/>
          <w:szCs w:val="27"/>
        </w:rPr>
        <w:t> </w:t>
      </w:r>
      <w:r w:rsidRPr="00DC4643">
        <w:rPr>
          <w:rFonts w:ascii="Segoe UI" w:eastAsia="Times New Roman" w:hAnsi="Segoe UI" w:cs="B Zar"/>
          <w:color w:val="0D0D0D"/>
          <w:sz w:val="27"/>
          <w:szCs w:val="27"/>
          <w:rtl/>
        </w:rPr>
        <w:t>مدل‌های سنتی (مانند رگرسیون یا درخت تصمیم) به دلیل ساختار ساده‌تر،</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شفافیت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بیشتری دارند و خروجی آن‌ها قابل تبیین است. برای مثال، در یک مدل رگرسیون خطی وزن هر متغیر به‌روشنی نشان می‌دهد که آن عامل چگونه بر امتیاز اعتباری اثر می‌گذارد</w:t>
      </w:r>
      <w:hyperlink r:id="rId17" w:anchor=":~:text=Linear%20models%20are%20particularly%20easy,easy%20to%20interpret%3B%20by%20starting"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همچنین در درخت‌های تصمیم، مسیر طی‌شده از ریشه تا برگ به‌سادگی منطق تصمیم را توضیح می‌دهد</w:t>
      </w:r>
      <w:hyperlink r:id="rId18" w:anchor=":~:text=learned%20relationship%20makes%20the%20interpretation,These%20algorithms"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 xml:space="preserve">در مقابل، مدل‌های پیشرفته‌تر مانند جنگل تصادفی، گرادیان بوستینگ یا شبکه </w:t>
      </w:r>
      <w:r w:rsidRPr="00DC4643">
        <w:rPr>
          <w:rFonts w:ascii="Segoe UI" w:eastAsia="Times New Roman" w:hAnsi="Segoe UI" w:cs="B Zar" w:hint="cs"/>
          <w:color w:val="0D0D0D"/>
          <w:sz w:val="27"/>
          <w:szCs w:val="27"/>
          <w:rtl/>
        </w:rPr>
        <w:t>عصبی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خاطر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به‌کارگیری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صدها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متغیر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ترکیب‌های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پیچیده،</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اغلب</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به‌صورت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جعبه‌سیاه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عمل می‌کنند و رابطه </w:t>
      </w:r>
      <w:r w:rsidRPr="00DC4643">
        <w:rPr>
          <w:rFonts w:ascii="Segoe UI" w:eastAsia="Times New Roman" w:hAnsi="Segoe UI" w:cs="B Zar" w:hint="cs"/>
          <w:color w:val="0D0D0D"/>
          <w:sz w:val="27"/>
          <w:szCs w:val="27"/>
          <w:rtl/>
        </w:rPr>
        <w:t>ورودی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خروجی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به‌آسانی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قابل</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درک</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نیست</w:t>
      </w:r>
      <w:hyperlink r:id="rId19" w:anchor=":~:text=Deep%20neural%20networks%2C%20random%20forests%2C,the%20model%20predictions%20to%20help"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این عدم شفافیت چالش‌هایی را برای ناظران و حتی خود مؤسسات اعتباری ایجاد می‌کند؛ به طوری که توضیح تصمیم یک الگوریتم پیچیده به مشتری یا مقام نظارتی بسیار دشوارتر از مدل‌های سنتی است</w:t>
      </w:r>
      <w:hyperlink r:id="rId20" w:anchor=":~:text=The%20adoption%20of%20innovative%20methods,in%20a%20failure%20to%20predict" w:tgtFrame="_blank" w:history="1">
        <w:r>
          <w:rPr>
            <w:rFonts w:ascii="Segoe UI" w:eastAsia="Times New Roman" w:hAnsi="Segoe UI" w:cs="B Zar"/>
            <w:color w:val="2964AA"/>
            <w:sz w:val="14"/>
            <w:szCs w:val="14"/>
          </w:rPr>
          <w:t xml:space="preserve"> </w:t>
        </w:r>
      </w:hyperlink>
      <w:r>
        <w:rPr>
          <w:rFonts w:ascii="Segoe UI" w:eastAsia="Times New Roman" w:hAnsi="Segoe UI" w:cs="B Zar" w:hint="cs"/>
          <w:color w:val="0D0D0D"/>
          <w:sz w:val="27"/>
          <w:szCs w:val="27"/>
          <w:rtl/>
        </w:rPr>
        <w:t>.</w:t>
      </w:r>
    </w:p>
    <w:p w14:paraId="017FC8C4" w14:textId="3079E284" w:rsidR="00DC4643" w:rsidRPr="00DC4643" w:rsidRDefault="00DC4643" w:rsidP="00DC4643">
      <w:pPr>
        <w:numPr>
          <w:ilvl w:val="0"/>
          <w:numId w:val="1"/>
        </w:numPr>
        <w:shd w:val="clear" w:color="auto" w:fill="FFFFFF"/>
        <w:bidi/>
        <w:spacing w:after="0"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پوشش افراد فاقد سابقه اعتباری</w:t>
      </w:r>
      <w:r w:rsidR="009E54DE">
        <w:rPr>
          <w:rFonts w:ascii="Segoe UI" w:eastAsia="Times New Roman" w:hAnsi="Segoe UI" w:cs="B Zar" w:hint="cs"/>
          <w:b/>
          <w:bCs/>
          <w:color w:val="0D0D0D"/>
          <w:sz w:val="27"/>
          <w:szCs w:val="27"/>
          <w:rtl/>
        </w:rPr>
        <w:t>:</w:t>
      </w:r>
      <w:r w:rsidRPr="00DC4643">
        <w:rPr>
          <w:rFonts w:ascii="Segoe UI" w:eastAsia="Times New Roman" w:hAnsi="Segoe UI" w:cs="B Zar"/>
          <w:color w:val="0D0D0D"/>
          <w:sz w:val="27"/>
          <w:szCs w:val="27"/>
        </w:rPr>
        <w:t> </w:t>
      </w:r>
      <w:r w:rsidRPr="00DC4643">
        <w:rPr>
          <w:rFonts w:ascii="Segoe UI" w:eastAsia="Times New Roman" w:hAnsi="Segoe UI" w:cs="B Zar"/>
          <w:color w:val="0D0D0D"/>
          <w:sz w:val="27"/>
          <w:szCs w:val="27"/>
          <w:rtl/>
        </w:rPr>
        <w:t>یکی از محدودیت‌های مهم سیستم‌های سنتی این است که برای محاسبه امتیاز اعتباری به سابقه مالی ثبت‌شده نیاز دارند. به عبارت دیگر، اگر فردی سابقه وام یا کارت اعتباری نداشته باشد،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امتیازدهی سنتی او را غیرقابل ارزیابی تلقی می‌کند</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 در نتیجه میلیون‌ها نفر به علت فقدان سابقه از دسترسی به اعتبار محروم می‌مانند</w:t>
      </w:r>
      <w:hyperlink r:id="rId21" w:anchor=":~:text=of%20a%20credit%20history%20leaves,consumers%20with%20short%20credit%20histories"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مدل‌های نوین این مشکل را با استفاده از</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جایگزین</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 الگوریتم‌های انعطاف‌پذیر حل می‌کنند. به عنوان نمونه، شرکت‌های فین‌تک با کسب اجازه از متقاضی، الگوی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کاربری تلفن همراه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وی (مانند میزان تماس‌ها، تعداد مخاطبین، اپلیکیشن‌های نصب‌شده) را تحلیل کرده و برای افرادی که سابقه بانکی ندارند امتیاز اعتباری تخمینی تولید می‌کنند</w:t>
      </w:r>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بنابراین مزیت مهم مدل‌های هوشمند،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شمول مالی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بیشتر و پوشش متقاضیان جدید و غیربانکی است. البته استفاده از داده‌های غیربانکی خود مستلزم دقت در حفظ حریم خصوصی و رضایت آگاهانه مشتریان است که در بخش‌های بعد به آن می‌پردازیم</w:t>
      </w:r>
      <w:r w:rsidRPr="00DC4643">
        <w:rPr>
          <w:rFonts w:ascii="Segoe UI" w:eastAsia="Times New Roman" w:hAnsi="Segoe UI" w:cs="B Zar"/>
          <w:color w:val="0D0D0D"/>
          <w:sz w:val="27"/>
          <w:szCs w:val="27"/>
        </w:rPr>
        <w:t>.</w:t>
      </w:r>
    </w:p>
    <w:p w14:paraId="1E45BA9B" w14:textId="4A911956" w:rsidR="00DC4643" w:rsidRPr="00DC4643" w:rsidRDefault="00DC4643" w:rsidP="00DC4643">
      <w:pPr>
        <w:numPr>
          <w:ilvl w:val="0"/>
          <w:numId w:val="1"/>
        </w:numPr>
        <w:shd w:val="clear" w:color="auto" w:fill="FFFFFF"/>
        <w:bidi/>
        <w:spacing w:after="0"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هزینه و سرعت اجرای مدل</w:t>
      </w:r>
      <w:r w:rsidR="009E54DE">
        <w:rPr>
          <w:rFonts w:ascii="Segoe UI" w:eastAsia="Times New Roman" w:hAnsi="Segoe UI" w:cs="B Zar" w:hint="cs"/>
          <w:b/>
          <w:bCs/>
          <w:color w:val="0D0D0D"/>
          <w:sz w:val="27"/>
          <w:szCs w:val="27"/>
          <w:rtl/>
        </w:rPr>
        <w:t>:</w:t>
      </w:r>
      <w:r w:rsidRPr="00DC4643">
        <w:rPr>
          <w:rFonts w:ascii="Segoe UI" w:eastAsia="Times New Roman" w:hAnsi="Segoe UI" w:cs="B Zar"/>
          <w:color w:val="0D0D0D"/>
          <w:sz w:val="27"/>
          <w:szCs w:val="27"/>
        </w:rPr>
        <w:t> </w:t>
      </w:r>
      <w:r w:rsidRPr="00DC4643">
        <w:rPr>
          <w:rFonts w:ascii="Segoe UI" w:eastAsia="Times New Roman" w:hAnsi="Segoe UI" w:cs="B Zar"/>
          <w:color w:val="0D0D0D"/>
          <w:sz w:val="27"/>
          <w:szCs w:val="27"/>
          <w:rtl/>
        </w:rPr>
        <w:t>فرآیند اعتبارسنجی سنتی غالباً متکی بر بررسی دستی یا سیستم‌های ساده است و وقتی حجم متقاضیان بالا رود،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هزینه پردازش هر درخواست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 زمان پاسخ‌گویی افزایش می‌یابد. مدل‌های هوشمند جدید به دلیل اتوماسیون عملیات و تحلیل سریع داده‌های زیاد، هزینه تصمیم‌گیری اعتباری را برای مؤسسات کاهش می‌دهند</w:t>
      </w:r>
      <w:hyperlink r:id="rId22" w:anchor=":~:text=help%20reduce%20the%20cost%20of,allow%20large%20amounts%20of%20data"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بانک جهانی اشاره می‌کند که الگوریتم‌های یادگیری ماشین می‌توانند حجم عظیمی از داده‌ها را</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به‌سرعت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تحلیل کرده و بسیاری از وظایف تکراری در ارزیابی ریسک را خودکار کنند</w:t>
      </w:r>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 xml:space="preserve">این امر علاوه بر صرفه‌جویی مالی برای وام‌دهندگان، زمان پاسخ به متقاضی را نیز کوتاه‌تر می‌کند. </w:t>
      </w:r>
      <w:r w:rsidRPr="00DC4643">
        <w:rPr>
          <w:rFonts w:ascii="Segoe UI" w:eastAsia="Times New Roman" w:hAnsi="Segoe UI" w:cs="B Zar"/>
          <w:color w:val="0D0D0D"/>
          <w:sz w:val="27"/>
          <w:szCs w:val="27"/>
          <w:rtl/>
        </w:rPr>
        <w:lastRenderedPageBreak/>
        <w:t>بنابراین در حالی که راه‌اندازی یک سامانه هوش مصنوعی ممکن است مستلزم سرمایه‌گذاری اولیه در زیرساخت فناوری باشد، در بلندمدت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صرفه‌جویی اقتصادی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و مقیاس‌پذیری بهتری را به همراه خواهد داشت</w:t>
      </w:r>
      <w:r w:rsidRPr="00DC4643">
        <w:rPr>
          <w:rFonts w:ascii="Segoe UI" w:eastAsia="Times New Roman" w:hAnsi="Segoe UI" w:cs="B Zar"/>
          <w:color w:val="0D0D0D"/>
          <w:sz w:val="27"/>
          <w:szCs w:val="27"/>
        </w:rPr>
        <w:t>.</w:t>
      </w:r>
    </w:p>
    <w:p w14:paraId="74149703" w14:textId="2BDF577C" w:rsidR="00DC4643" w:rsidRPr="00DC4643" w:rsidRDefault="00DC4643" w:rsidP="00DC4643">
      <w:pPr>
        <w:numPr>
          <w:ilvl w:val="0"/>
          <w:numId w:val="1"/>
        </w:numPr>
        <w:shd w:val="clear" w:color="auto" w:fill="FFFFFF"/>
        <w:bidi/>
        <w:spacing w:after="0"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عدالت الگوریتمی (عدم تبعیض</w:t>
      </w:r>
      <w:r w:rsidR="009E54DE">
        <w:rPr>
          <w:rFonts w:ascii="Segoe UI" w:eastAsia="Times New Roman" w:hAnsi="Segoe UI" w:cs="B Zar" w:hint="cs"/>
          <w:b/>
          <w:bCs/>
          <w:color w:val="0D0D0D"/>
          <w:sz w:val="27"/>
          <w:szCs w:val="27"/>
          <w:rtl/>
        </w:rPr>
        <w:t xml:space="preserve">): </w:t>
      </w:r>
      <w:r w:rsidRPr="00DC4643">
        <w:rPr>
          <w:rFonts w:ascii="Segoe UI" w:eastAsia="Times New Roman" w:hAnsi="Segoe UI" w:cs="B Zar"/>
          <w:b/>
          <w:bCs/>
          <w:color w:val="0D0D0D"/>
          <w:sz w:val="27"/>
          <w:szCs w:val="27"/>
          <w:rtl/>
        </w:rPr>
        <w:t>انصاف</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در تصمیمات اعتباری از دغدغه‌های جدی نهادهای ناظر است. مدل‌های سنتی به دلیل استفاده از متغیرهای محدود و قابل‌کنترل (مانند درآمد و سابقه بازپرداخت) تا حدی امکان نظارت بر عدم تبعیض را فراهم می‌کنند؛ برای مثال، قوانین در بسیاری کشورها استفاده از متغیرهایی چون نژاد یا مذهب را در امتیازدهی ممنوع کرده‌اند. با این حال حتی مدل‌های ساده نیز ممکن است به‌طور غیرمستقیم جانب‌دار شوند (مثلاً متغیری مانند کد پستی می‌تواند نمایانگر وضعیت اقتصادی-اجتماعی باشد). در مدل‌های پیشرفته </w:t>
      </w:r>
      <w:r w:rsidRPr="00DC4643">
        <w:rPr>
          <w:rFonts w:ascii="Segoe UI" w:eastAsia="Times New Roman" w:hAnsi="Segoe UI" w:cs="B Zar" w:hint="cs"/>
          <w:color w:val="0D0D0D"/>
          <w:sz w:val="27"/>
          <w:szCs w:val="27"/>
          <w:rtl/>
        </w:rPr>
        <w:t>هوش</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مصنوعی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نگرانی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پررنگ‌تر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است؛</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زیرا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الگوریتم‌ها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با</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جستجو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در</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متنوع و بزرگ</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ممکن است الگوهایی را بیابند که ناخواسته با عوامل تبعیض‌آمیز هم‌بستگی دارند. بر اساس گزارش بانک جهانی، الگوریتم‌هایی که داده‌های جایگزین را کاوش می‌کنند ممکن است به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ویژگی‌های شخصی حساس</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دست یابند؛ برای مثال ترکیب داده‌های مکانی</w:t>
      </w:r>
      <w:r w:rsidRPr="00DC4643">
        <w:rPr>
          <w:rFonts w:ascii="Segoe UI" w:eastAsia="Times New Roman" w:hAnsi="Segoe UI" w:cs="B Zar"/>
          <w:color w:val="0D0D0D"/>
          <w:sz w:val="27"/>
          <w:szCs w:val="27"/>
        </w:rPr>
        <w:t xml:space="preserve"> (GPS) </w:t>
      </w:r>
      <w:r w:rsidRPr="00DC4643">
        <w:rPr>
          <w:rFonts w:ascii="Segoe UI" w:eastAsia="Times New Roman" w:hAnsi="Segoe UI" w:cs="B Zar"/>
          <w:color w:val="0D0D0D"/>
          <w:sz w:val="27"/>
          <w:szCs w:val="27"/>
          <w:rtl/>
        </w:rPr>
        <w:t>فرد با سایر اطلاعات می‌تواند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قومیت یا مذهب</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او را به‌طور غیرمستقیم آشکار کند</w:t>
      </w:r>
      <w:hyperlink r:id="rId23" w:anchor=":~:text=Algorithms%20that%20search%20through%20alternative,This%20report%20recommends%20that%20the"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بنابراین ریسک تبعیض علیه اقلیت‌ها در صورت عدم نظارت مناسب بر مدل‌های جدید یک چالش واقعی است</w:t>
      </w:r>
      <w:hyperlink r:id="rId24" w:anchor=":~:text=and%20explain%20%28FSB%202017%29,European%20Commission%202018b"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برای رفع این مشکل، ضروری است که معیارهای عدالت در چارچوبی اخلاقی سنجیده شوند و توسعه‌دهندگان مدل‌ها از همان ابتدا ملاحظات عدم جانبداری و حقوق انسانی را در طراحی الگوریتم لحاظ کنند</w:t>
      </w:r>
      <w:r w:rsidR="009E54DE">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خلاصه اینکه از منظر عدالت،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مزیت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مدل‌های سنتی در کنترل‌پذیری بیشتر و شفافیت در تشخیص سوگیری‌هاست، در حالی که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چالش</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مدل‌های هوشمند مدیریت ریسک تبعیض پنهان در حجم انبوه داده‌ها است</w:t>
      </w:r>
      <w:r w:rsidRPr="00DC4643">
        <w:rPr>
          <w:rFonts w:ascii="Segoe UI" w:eastAsia="Times New Roman" w:hAnsi="Segoe UI" w:cs="B Zar"/>
          <w:color w:val="0D0D0D"/>
          <w:sz w:val="27"/>
          <w:szCs w:val="27"/>
        </w:rPr>
        <w:t>.</w:t>
      </w:r>
    </w:p>
    <w:p w14:paraId="54F2371A" w14:textId="322C064A"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منابع داده سنتی در برابر داده‌های جایگزین</w:t>
      </w:r>
    </w:p>
    <w:p w14:paraId="7AB6CF88" w14:textId="5FDE0C5A" w:rsidR="00DC4643" w:rsidRPr="00DC4643" w:rsidRDefault="00DC4643" w:rsidP="009E54DE">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t>نوع داده‌هایی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که برای محاسبه امتیاز اعتباری استفاده می‌شوند، یکی از تفاوت‌های بنیادین میان رویکردهای سنتی و نوین است. در روش‌های سنتی، تمرکز بر اطلاعات کلاسیک مالی و اعتباری است که عموماً در اختیار بانک‌ها و دفاتر اعتباری</w:t>
      </w:r>
      <w:r w:rsidRPr="00DC4643">
        <w:rPr>
          <w:rFonts w:ascii="Segoe UI" w:eastAsia="Times New Roman" w:hAnsi="Segoe UI" w:cs="B Zar"/>
          <w:color w:val="0D0D0D"/>
          <w:sz w:val="27"/>
          <w:szCs w:val="27"/>
        </w:rPr>
        <w:t xml:space="preserve"> (Credit Bureaus) </w:t>
      </w:r>
      <w:r w:rsidRPr="00DC4643">
        <w:rPr>
          <w:rFonts w:ascii="Segoe UI" w:eastAsia="Times New Roman" w:hAnsi="Segoe UI" w:cs="B Zar"/>
          <w:color w:val="0D0D0D"/>
          <w:sz w:val="27"/>
          <w:szCs w:val="27"/>
          <w:rtl/>
        </w:rPr>
        <w:t>قرار دارد. این</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سنتی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شامل مواردی نظیر مبلغ و نوع وام‌های دریافت‌شده، مدت بازپرداخت وام، میزان وثیقه یا ضمانت، تاریخچه پرداخت اقساط (سوابق نکول یا تأخیر در پرداخت‌ها)، مجموع بدهی‌های جاری، طول سابقه اعتباری و تعداد استعلام‌های اعتباری است</w:t>
      </w:r>
      <w:hyperlink r:id="rId25" w:anchor=":~:text=The%20data%20used%20for%20credit,credit%20score%20as%20indicators%20of"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چنین اطلاعات ساخت‌یافته‌ای سال‌ها مبنای اصلی سنجش اعتبار بوده و شاخصی از توان و تمایل متقاضی به بازپرداخت بدهی ارائه می‌دهد</w:t>
      </w:r>
      <w:hyperlink r:id="rId26" w:anchor=":~:text=The%20data%20used%20for%20credit,credit%20score%20as%20indicators%20of"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w:t>
      </w:r>
    </w:p>
    <w:p w14:paraId="52449967" w14:textId="7F6FE03D"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lastRenderedPageBreak/>
        <w:t>در مقابل، مدل‌های جدید هوشمند امکان بهره‌گیری از</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جایگزین</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را فراهم کرده‌اند. داده‌های جایگزین به طیف وسیعی از اطلاعات گفته می‌شود که حاصل زندگی دیجیتال و تعاملات روزمره افراد است و لزوماً در سابقه مالی رسمی منعکس نشده‌اند</w:t>
      </w:r>
      <w:hyperlink r:id="rId27" w:anchor=":~:text=The%20Global%20Partnership%20for%20Financial,feeds%2C%20online%20ratings%20and%20blogs"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طبق تعریف «شراکت جهانی برای شمول مالی»، داده‌های جایگزین شامل حجم عظیمی از اطلاعات تولیدشده توسط ابزارهای دیجیتال و پلتفرم‌های آنلاین است</w:t>
      </w:r>
      <w:hyperlink r:id="rId28" w:anchor=":~:text=The%20Global%20Partnership%20for%20Financial,feeds%2C%20online%20ratings%20and%20blogs"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برای نمونه،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تراکنش لحظه‌ای</w:t>
      </w:r>
      <w:r w:rsidR="009E54DE">
        <w:rPr>
          <w:rFonts w:ascii="Segoe UI" w:eastAsia="Times New Roman" w:hAnsi="Segoe UI" w:cs="B Zar" w:hint="cs"/>
          <w:b/>
          <w:bCs/>
          <w:color w:val="0D0D0D"/>
          <w:sz w:val="27"/>
          <w:szCs w:val="27"/>
          <w:rtl/>
        </w:rPr>
        <w:t xml:space="preserve"> (</w:t>
      </w:r>
      <w:r w:rsidRPr="00DC4643">
        <w:rPr>
          <w:rFonts w:ascii="Segoe UI" w:eastAsia="Times New Roman" w:hAnsi="Segoe UI" w:cs="B Zar"/>
          <w:color w:val="0D0D0D"/>
          <w:sz w:val="27"/>
          <w:szCs w:val="27"/>
          <w:rtl/>
        </w:rPr>
        <w:t>ریز تراکنش‌های مالی در حساب‌ها</w:t>
      </w:r>
      <w:r w:rsidR="009E54DE">
        <w:rPr>
          <w:rFonts w:ascii="Segoe UI" w:eastAsia="Times New Roman" w:hAnsi="Segoe UI" w:cs="B Zar" w:hint="cs"/>
          <w:color w:val="0D0D0D"/>
          <w:sz w:val="27"/>
          <w:szCs w:val="27"/>
          <w:rtl/>
        </w:rPr>
        <w:t xml:space="preserve">)، </w:t>
      </w:r>
      <w:r w:rsidRPr="00DC4643">
        <w:rPr>
          <w:rFonts w:ascii="Segoe UI" w:eastAsia="Times New Roman" w:hAnsi="Segoe UI" w:cs="B Zar"/>
          <w:b/>
          <w:bCs/>
          <w:color w:val="0D0D0D"/>
          <w:sz w:val="27"/>
          <w:szCs w:val="27"/>
          <w:rtl/>
        </w:rPr>
        <w:t>داده‌های دستگاه‌های همراه</w:t>
      </w:r>
      <w:r w:rsidR="009E54DE">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مانند سوابق تماس و موقعیت مکانی</w:t>
      </w:r>
      <w:r w:rsidR="009E54DE">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Pr>
        <w:t>GPS</w:t>
      </w:r>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tl/>
        </w:rPr>
        <w:t>، فعالیت در</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شبکه‌های اجتماعی</w:t>
      </w:r>
      <w:r w:rsidR="009E54DE">
        <w:rPr>
          <w:rFonts w:ascii="Segoe UI" w:eastAsia="Times New Roman" w:hAnsi="Segoe UI" w:cs="B Zar" w:hint="cs"/>
          <w:b/>
          <w:bCs/>
          <w:color w:val="0D0D0D"/>
          <w:sz w:val="27"/>
          <w:szCs w:val="27"/>
          <w:rtl/>
        </w:rPr>
        <w:t xml:space="preserve"> (</w:t>
      </w:r>
      <w:r w:rsidRPr="00DC4643">
        <w:rPr>
          <w:rFonts w:ascii="Segoe UI" w:eastAsia="Times New Roman" w:hAnsi="Segoe UI" w:cs="B Zar"/>
          <w:color w:val="0D0D0D"/>
          <w:sz w:val="27"/>
          <w:szCs w:val="27"/>
          <w:rtl/>
        </w:rPr>
        <w:t>نوع ارتباطات و علایق کاربران</w:t>
      </w:r>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tl/>
        </w:rPr>
        <w:t>،</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سوابق پرداخت قبوض آب و برق و تلفن</w:t>
      </w:r>
      <w:r w:rsidRPr="00DC4643">
        <w:rPr>
          <w:rFonts w:ascii="Segoe UI" w:eastAsia="Times New Roman" w:hAnsi="Segoe UI" w:cs="B Zar"/>
          <w:color w:val="0D0D0D"/>
          <w:sz w:val="27"/>
          <w:szCs w:val="27"/>
          <w:rtl/>
        </w:rPr>
        <w:t>، و حتی نتایج آزمون‌های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روان‌سنجی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یا اطلاعات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وب‌گردی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 xml:space="preserve">فرد، همگی می‌توانند به عنوان داده </w:t>
      </w:r>
      <w:r w:rsidRPr="00DC4643">
        <w:rPr>
          <w:rFonts w:ascii="Segoe UI" w:eastAsia="Times New Roman" w:hAnsi="Segoe UI" w:cs="B Zar" w:hint="cs"/>
          <w:color w:val="0D0D0D"/>
          <w:sz w:val="27"/>
          <w:szCs w:val="27"/>
          <w:rtl/>
        </w:rPr>
        <w:t>خام</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مدل‌های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اعتبارسنجی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نوین</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مورد</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w:t>
      </w:r>
      <w:r w:rsidRPr="00DC4643">
        <w:rPr>
          <w:rFonts w:ascii="Segoe UI" w:eastAsia="Times New Roman" w:hAnsi="Segoe UI" w:cs="B Zar"/>
          <w:color w:val="0D0D0D"/>
          <w:sz w:val="27"/>
          <w:szCs w:val="27"/>
          <w:rtl/>
        </w:rPr>
        <w:t>ستفاده قرار گیرند</w:t>
      </w:r>
      <w:hyperlink r:id="rId29" w:anchor=":~:text=alternative%20data%20as%20a%20generic,property"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برای مثال، الگوی حضور یک کسب‌وکار در شبکه‌های اجتماعی یا امتیازاتی که مشتریان در وب‌سایت‌ها به آن کسب‌وکار داده‌اند می‌تواند سیگنال مفیدی از اعتبار آن کسب‌وکار باشد. مهم‌ترین مزیت به‌کارگیری این منابع داده جدید آن است که تصویر کامل‌تری از خصوصیات و عادت‌های مالی متقاضی به دست می‌دهد و به شناسایی افراد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خوش‌اعتبارِ بدون سابقه رسمی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کمک می‌کند</w:t>
      </w:r>
      <w:hyperlink r:id="rId30" w:anchor=":~:text=For%20example%2C%20consumers%20with%20short,go%20through%20a%20process%2C%20such"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البته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چالش‌های حقوقی و اخلاقی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قابل‌توجهی نیز مطرح می‌شود؛ از جمله رضایت آگاهانه مشتری برای استفاده از داده‌های شخصی، امنیت سایبری در نگهداری این داده‌ها، و اطمینان از اینکه اطلاعات جمع‌آوری‌شده مرتبط با توان بازپرداخت بوده و صرفاً حریم خصوصی افراد را نقض نمی‌کند</w:t>
      </w:r>
      <w:hyperlink r:id="rId31" w:anchor=":~:text=,national%20financial%20systems%20and%20the"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w:t>
      </w:r>
    </w:p>
    <w:p w14:paraId="2CBDEE25"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ملاحظات اخلاقی و ریسک‌های مدل‌های هوشمند</w:t>
      </w:r>
    </w:p>
    <w:p w14:paraId="0D65C03C" w14:textId="47130A43"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گسترش استفاده از داده‌های بزرگ و الگوریتم‌های پیچیده در اعتبارسنجی، ضرورت توجه به جنبه‌های اخلاقی و ریسک‌های جدید را دوچندان کرده است. یکی از دغدغه‌های اصلی،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حریم خصوصی داده‌ها</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است. بانک جهانی تأکید می‌کند که جمع‌آوری و استفاده از داده‌های شخصی برای امتیازدهی باید با رضایت آگاهانه و چارچوب قانونی همراه باشد و مصرف‌کنندگان و ناظران حق داشته باشند از</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منابع داده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مورد استفاده مطلع شوند</w:t>
      </w:r>
      <w:hyperlink r:id="rId32" w:anchor=":~:text=Information%20gathered%20from%20nontraditional%20data,data%2C%20and%20social%20media%20posts"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هنگامی که شرکت‌های اعتباردهنده به منابع داده غیرسنتی روی می‌آورند، پرسش‌هایی درباره مالکیت داده و رضایت مشتریان پدید می‌آید. به علاوه، همان‌طور که اشاره شد استفاده گسترده از</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داده‌های جایگزین</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نگرانی مدافعان حریم خصوصی را برانگیخته است</w:t>
      </w:r>
      <w:hyperlink r:id="rId33" w:anchor=":~:text=,national%20financial%20systems%20and%20the" w:tgtFrame="_blank" w:history="1">
        <w:r>
          <w:rPr>
            <w:rFonts w:ascii="Segoe UI" w:eastAsia="Times New Roman" w:hAnsi="Segoe UI" w:cs="B Zar"/>
            <w:color w:val="2964AA"/>
            <w:sz w:val="14"/>
            <w:szCs w:val="14"/>
          </w:rPr>
          <w:t xml:space="preserve"> </w:t>
        </w:r>
      </w:hyperlink>
      <w:r w:rsidR="009E54DE">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برای نمونه، دسترسی یک اپلیکیشن وام به مخاطبین تلفن یا شبکه‌های اجتماعی فرد اگرچه می‌تواند به ارزیابی ریسک کمک کند، اما بدون شفافیت و رضایت صریح، نقض حریم خصوصی تلقی می‌شود. به همین دلیل، در بسیاری از کشورها مقرراتی در حال تدوین است تا حد و حدود استفاده از داده‌های غیربانکی را مشخص کند و از حقوق مصرف‌کنندگان در فضای دیجیتال حمایت شود</w:t>
      </w:r>
      <w:r w:rsidRPr="00DC4643">
        <w:rPr>
          <w:rFonts w:ascii="Segoe UI" w:eastAsia="Times New Roman" w:hAnsi="Segoe UI" w:cs="B Zar"/>
          <w:color w:val="0D0D0D"/>
          <w:sz w:val="27"/>
          <w:szCs w:val="27"/>
        </w:rPr>
        <w:t>.</w:t>
      </w:r>
    </w:p>
    <w:p w14:paraId="138C7985" w14:textId="77777777" w:rsidR="00DC4643" w:rsidRPr="00DC4643" w:rsidRDefault="00DC4643" w:rsidP="00DC4643">
      <w:pPr>
        <w:shd w:val="clear" w:color="auto" w:fill="FFFFFF"/>
        <w:bidi/>
        <w:spacing w:after="0" w:line="240" w:lineRule="auto"/>
        <w:rPr>
          <w:rFonts w:ascii="Segoe UI" w:eastAsia="Times New Roman" w:hAnsi="Segoe UI" w:cs="B Zar"/>
          <w:color w:val="0D0D0D"/>
          <w:sz w:val="27"/>
          <w:szCs w:val="27"/>
        </w:rPr>
      </w:pPr>
      <w:r w:rsidRPr="00DC4643">
        <w:rPr>
          <w:rFonts w:ascii="Segoe UI" w:eastAsia="Times New Roman" w:hAnsi="Segoe UI" w:cs="B Zar"/>
          <w:color w:val="0D0D0D"/>
          <w:sz w:val="27"/>
          <w:szCs w:val="27"/>
        </w:rPr>
        <w:t> </w:t>
      </w:r>
    </w:p>
    <w:p w14:paraId="0F1E8DE1" w14:textId="205492B7"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b/>
          <w:bCs/>
          <w:color w:val="0D0D0D"/>
          <w:sz w:val="27"/>
          <w:szCs w:val="27"/>
          <w:rtl/>
        </w:rPr>
        <w:lastRenderedPageBreak/>
        <w:t>تبیین‌پذیری و شفافیت الگوریتم</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نیز یک چالش اساسی است. تصمیمات اعتباری می‌توانند تأثیر چشمگیری بر زندگی افراد داشته باشند (قبول یا رد وام، میزان بهره و غیره)؛ لذا لازم است این تصمیمات به‌صورت منصفانه و قابل توضیح اتخاذ شوند. در گزارش بانک جهانی تصریح شده که ارائه‌دهندگان خدمات اعتباری باید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منطق امتیازدهی را برای مشتریان قابل توضیح و برای ناظران شفاف سازند</w:t>
      </w:r>
      <w:hyperlink r:id="rId34" w:anchor=":~:text=credit%20scoring%20should%20be%20explainable%2C,decisions%20made%20on%20the%20basis" w:tgtFrame="_blank" w:history="1">
        <w:r>
          <w:rPr>
            <w:rFonts w:ascii="Segoe UI" w:eastAsia="Times New Roman" w:hAnsi="Segoe UI" w:cs="B Zar"/>
            <w:color w:val="2964AA"/>
            <w:sz w:val="14"/>
            <w:szCs w:val="14"/>
          </w:rPr>
          <w:t xml:space="preserve"> </w:t>
        </w:r>
      </w:hyperlink>
      <w:r w:rsidR="009B07D8">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 xml:space="preserve">این بدان معناست که حتی در صورت استفاده از الگوریتم‌های پیچیده، مؤسسه مالی موظف است اطلاعات کافی درباره </w:t>
      </w:r>
      <w:r w:rsidRPr="00DC4643">
        <w:rPr>
          <w:rFonts w:ascii="Segoe UI" w:eastAsia="Times New Roman" w:hAnsi="Segoe UI" w:cs="B Zar" w:hint="cs"/>
          <w:color w:val="0D0D0D"/>
          <w:sz w:val="27"/>
          <w:szCs w:val="27"/>
          <w:rtl/>
        </w:rPr>
        <w:t>داده‌های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ورودی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و</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دلایل</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تصمیم‌گیری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اختیار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متقاضی</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قرار</w:t>
      </w:r>
      <w:r w:rsidRPr="00DC4643">
        <w:rPr>
          <w:rFonts w:ascii="Segoe UI" w:eastAsia="Times New Roman" w:hAnsi="Segoe UI" w:cs="B Zar"/>
          <w:color w:val="0D0D0D"/>
          <w:sz w:val="27"/>
          <w:szCs w:val="27"/>
          <w:rtl/>
        </w:rPr>
        <w:t xml:space="preserve"> </w:t>
      </w:r>
      <w:r w:rsidRPr="00DC4643">
        <w:rPr>
          <w:rFonts w:ascii="Segoe UI" w:eastAsia="Times New Roman" w:hAnsi="Segoe UI" w:cs="B Zar" w:hint="cs"/>
          <w:color w:val="0D0D0D"/>
          <w:sz w:val="27"/>
          <w:szCs w:val="27"/>
          <w:rtl/>
        </w:rPr>
        <w:t>دهد</w:t>
      </w:r>
      <w:hyperlink r:id="rId35" w:anchor=":~:text=Explainable%20and%20Transparent%20Credit%20Scoring,made%20on%20the%20basis%20of" w:tgtFrame="_blank" w:history="1">
        <w:r>
          <w:rPr>
            <w:rFonts w:ascii="Segoe UI" w:eastAsia="Times New Roman" w:hAnsi="Segoe UI" w:cs="B Zar"/>
            <w:color w:val="2964AA"/>
            <w:sz w:val="14"/>
            <w:szCs w:val="14"/>
          </w:rPr>
          <w:t xml:space="preserve"> </w:t>
        </w:r>
      </w:hyperlink>
      <w:r w:rsidR="009B07D8">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با این حال، در عمل توضیح یک مدل یادگیری عمیق یا جنگل تصادفی به زبان ساده برای مصرف‌کننده بسیار دشوار است. نبود شفافیت می‌تواند به</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کاهش اعتماد عمومی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به سیستم اعتبارسنجی منجر شود و نظارت نهادهای مقررات‌گذار را نیز با مشکل مواجه کند. به عنوان مثال، اگر مدل هوش مصنوعی به‌دلیل پیچیدگی بالا قابل درک نباشد، ممکن است تشخیص وجود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سوگیری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یا عملکرد نادرست آن حتی برای کارشناسان هم سخت شود. برای مقابله با این وضعیت، پژوهشگران در حال توسعه ابزارهای تبیین‌گر</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هستند</w:t>
      </w:r>
      <w:r w:rsidR="009B07D8">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tl/>
        </w:rPr>
        <w:t xml:space="preserve"> تا اثر هر متغیر را در نتیجه مدل روشن کنند</w:t>
      </w:r>
      <w:hyperlink r:id="rId36" w:anchor=":~:text=Postmodelling%20interpretability%20tests%20can%20help,See" w:tgtFrame="_blank" w:history="1">
        <w:r>
          <w:rPr>
            <w:rFonts w:ascii="Segoe UI" w:eastAsia="Times New Roman" w:hAnsi="Segoe UI" w:cs="B Zar"/>
            <w:color w:val="2964AA"/>
            <w:sz w:val="14"/>
            <w:szCs w:val="14"/>
          </w:rPr>
          <w:t xml:space="preserve"> </w:t>
        </w:r>
      </w:hyperlink>
      <w:r w:rsidR="009B07D8">
        <w:rPr>
          <w:rFonts w:ascii="Segoe UI" w:eastAsia="Times New Roman" w:hAnsi="Segoe UI" w:cs="B Zar" w:hint="cs"/>
          <w:color w:val="0D0D0D"/>
          <w:sz w:val="27"/>
          <w:szCs w:val="27"/>
          <w:rtl/>
        </w:rPr>
        <w:t>.</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 xml:space="preserve">همچنین برخی </w:t>
      </w:r>
      <w:r w:rsidR="009B07D8">
        <w:rPr>
          <w:rFonts w:ascii="Segoe UI" w:eastAsia="Times New Roman" w:hAnsi="Segoe UI" w:cs="B Zar" w:hint="cs"/>
          <w:color w:val="0D0D0D"/>
          <w:sz w:val="27"/>
          <w:szCs w:val="27"/>
          <w:rtl/>
        </w:rPr>
        <w:t>قانون</w:t>
      </w:r>
      <w:r w:rsidRPr="00DC4643">
        <w:rPr>
          <w:rFonts w:ascii="Segoe UI" w:eastAsia="Times New Roman" w:hAnsi="Segoe UI" w:cs="B Zar"/>
          <w:color w:val="0D0D0D"/>
          <w:sz w:val="27"/>
          <w:szCs w:val="27"/>
          <w:rtl/>
        </w:rPr>
        <w:t>‌گذاران مالی خواستار آن شده‌اند که در صورت استفاده از الگوریتم‌های غیرقابل توضیح، حداقل</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حق بازبینی دستی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برای متقاضی وجود داشته باشد تا تصمیم به‌طور انسانی ارزیابی مجدد شود</w:t>
      </w:r>
      <w:hyperlink r:id="rId37" w:anchor=":~:text=Explainable%20and%20Transparent%20Use%20of,scoring%20is%20incorporated%20into%20their"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w:t>
      </w:r>
    </w:p>
    <w:p w14:paraId="2235AACF" w14:textId="77777777" w:rsidR="00DC4643" w:rsidRPr="00DC4643" w:rsidRDefault="00DC4643" w:rsidP="00DC4643">
      <w:pPr>
        <w:shd w:val="clear" w:color="auto" w:fill="FFFFFF"/>
        <w:bidi/>
        <w:spacing w:after="0" w:line="240" w:lineRule="auto"/>
        <w:rPr>
          <w:rFonts w:ascii="Segoe UI" w:eastAsia="Times New Roman" w:hAnsi="Segoe UI" w:cs="B Zar"/>
          <w:color w:val="0D0D0D"/>
          <w:sz w:val="27"/>
          <w:szCs w:val="27"/>
        </w:rPr>
      </w:pPr>
      <w:r w:rsidRPr="00DC4643">
        <w:rPr>
          <w:rFonts w:ascii="Segoe UI" w:eastAsia="Times New Roman" w:hAnsi="Segoe UI" w:cs="B Zar"/>
          <w:color w:val="0D0D0D"/>
          <w:sz w:val="27"/>
          <w:szCs w:val="27"/>
        </w:rPr>
        <w:t> </w:t>
      </w:r>
    </w:p>
    <w:p w14:paraId="4C6C7D6F" w14:textId="77777777" w:rsidR="00DC4643" w:rsidRPr="00DC4643" w:rsidRDefault="00DC4643" w:rsidP="00DC4643">
      <w:pPr>
        <w:shd w:val="clear" w:color="auto" w:fill="FFFFFF"/>
        <w:bidi/>
        <w:spacing w:before="480" w:after="180" w:line="240" w:lineRule="auto"/>
        <w:outlineLvl w:val="1"/>
        <w:rPr>
          <w:rFonts w:ascii="Segoe UI" w:eastAsia="Times New Roman" w:hAnsi="Segoe UI" w:cs="B Zar"/>
          <w:b/>
          <w:bCs/>
          <w:color w:val="0D0D0D"/>
          <w:sz w:val="41"/>
          <w:szCs w:val="41"/>
        </w:rPr>
      </w:pPr>
      <w:r w:rsidRPr="00DC4643">
        <w:rPr>
          <w:rFonts w:ascii="Segoe UI" w:eastAsia="Times New Roman" w:hAnsi="Segoe UI" w:cs="B Zar"/>
          <w:b/>
          <w:bCs/>
          <w:color w:val="0D0D0D"/>
          <w:sz w:val="41"/>
          <w:szCs w:val="41"/>
          <w:rtl/>
        </w:rPr>
        <w:t>جمع‌بندی</w:t>
      </w:r>
    </w:p>
    <w:p w14:paraId="7914FA97" w14:textId="449977D2" w:rsidR="00DC4643" w:rsidRPr="00DC4643" w:rsidRDefault="00DC4643" w:rsidP="00DC4643">
      <w:pPr>
        <w:shd w:val="clear" w:color="auto" w:fill="FFFFFF"/>
        <w:bidi/>
        <w:spacing w:beforeAutospacing="1" w:after="0" w:afterAutospacing="1" w:line="240" w:lineRule="auto"/>
        <w:textAlignment w:val="top"/>
        <w:rPr>
          <w:rFonts w:ascii="Segoe UI" w:eastAsia="Times New Roman" w:hAnsi="Segoe UI" w:cs="B Zar"/>
          <w:color w:val="0D0D0D"/>
          <w:sz w:val="27"/>
          <w:szCs w:val="27"/>
        </w:rPr>
      </w:pPr>
      <w:r w:rsidRPr="00DC4643">
        <w:rPr>
          <w:rFonts w:ascii="Segoe UI" w:eastAsia="Times New Roman" w:hAnsi="Segoe UI" w:cs="B Zar"/>
          <w:color w:val="0D0D0D"/>
          <w:sz w:val="27"/>
          <w:szCs w:val="27"/>
          <w:rtl/>
        </w:rPr>
        <w:t>مدل‌های نوین اعتبارسنجی مبتنی بر هوش مصنوعی در سال‌های اخیر به عنوان مکمل یا جایگزین روش‌های سنتی مطرح شده‌اند و هر یک</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مزایا و معایب خاص خود را دارند</w:t>
      </w:r>
      <w:r w:rsidR="009B07D8">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روش‌های کلاسیک به دلیل سادگی و شفافیت، سال‌ها اعتماد تصمیم‌گیران و ناظران را به خود جلب کرده‌اند. در مقابل، الگوریتم‌های پیشرفته یادگیری ماشین با تحلیل داده‌های متنوع توانسته‌اند</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دقت</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پیش‌بینی را افزایش داده و افراد فاقد سابقه اعتباری را نیز در دایره ارزیابی قرار دهند که دستاورد بزرگی برای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شمول مالی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است</w:t>
      </w:r>
      <w:hyperlink r:id="rId38" w:anchor=":~:text=%28Proudman%202018%29,data%20sources%20that%20are%20collected" w:tgtFrame="_blank" w:history="1">
        <w:r>
          <w:rPr>
            <w:rFonts w:ascii="Segoe UI" w:eastAsia="Times New Roman" w:hAnsi="Segoe UI" w:cs="B Zar"/>
            <w:color w:val="2964AA"/>
            <w:sz w:val="14"/>
            <w:szCs w:val="14"/>
          </w:rPr>
          <w:t xml:space="preserve"> </w:t>
        </w:r>
      </w:hyperlink>
      <w:r w:rsidR="009B07D8">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با این حال، به‌کارگیری فناوری‌های جدید بدون مخاطره نیست؛</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ابهام در توضیح تصمیمات، احتمال سوگیری الگوریتمی و نگرانی‌های حریم خصوصی</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چالش‌هایی هستند که نیازمند توجه دقیق می‌باشن</w:t>
      </w:r>
      <w:r w:rsidR="009B07D8">
        <w:rPr>
          <w:rFonts w:ascii="Segoe UI" w:eastAsia="Times New Roman" w:hAnsi="Segoe UI" w:cs="B Zar" w:hint="cs"/>
          <w:color w:val="0D0D0D"/>
          <w:sz w:val="27"/>
          <w:szCs w:val="27"/>
          <w:rtl/>
        </w:rPr>
        <w:t>د.</w:t>
      </w:r>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t>رویکرد مبتنی بر این راهنمای بانک جهانی آن است که نوآوری در اعتبارسنجی را در چارچوبی</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انسان‌محور و مسئولانه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پیش ببریم</w:t>
      </w:r>
      <w:hyperlink r:id="rId39" w:anchor=":~:text=Bank%20thedocs,This%20guideline%20proffers%20seven%20policy" w:tgtFrame="_blank" w:history="1">
        <w:r>
          <w:rPr>
            <w:rFonts w:ascii="Segoe UI" w:eastAsia="Times New Roman" w:hAnsi="Segoe UI" w:cs="B Zar"/>
            <w:color w:val="2964AA"/>
            <w:sz w:val="14"/>
            <w:szCs w:val="14"/>
          </w:rPr>
          <w:t xml:space="preserve"> </w:t>
        </w:r>
      </w:hyperlink>
      <w:r w:rsidR="009B07D8">
        <w:rPr>
          <w:rFonts w:ascii="Segoe UI" w:eastAsia="Times New Roman" w:hAnsi="Segoe UI" w:cs="B Zar" w:hint="cs"/>
          <w:color w:val="0D0D0D"/>
          <w:sz w:val="27"/>
          <w:szCs w:val="27"/>
          <w:rtl/>
        </w:rPr>
        <w:t xml:space="preserve">. </w:t>
      </w:r>
      <w:r w:rsidRPr="00DC4643">
        <w:rPr>
          <w:rFonts w:ascii="Segoe UI" w:eastAsia="Times New Roman" w:hAnsi="Segoe UI" w:cs="B Zar"/>
          <w:color w:val="0D0D0D"/>
          <w:sz w:val="27"/>
          <w:szCs w:val="27"/>
          <w:rtl/>
        </w:rPr>
        <w:t>بدین معنا که ضمن بهره‌گیری از فرصت‌های مدل‌های هوشمند برای بهبود دسترسی به اعتبار و کارایی نظام مالی، با وضع خط‌مشی‌ها و مقررات مناسب از حقوق مشتریان و عدالت محافظت شود. در آینده، تلفیق</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قدرت پیش‌بینی الگوریتم‌های پیشرفته</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با</w:t>
      </w:r>
      <w:r w:rsidRPr="00DC4643">
        <w:rPr>
          <w:rFonts w:ascii="Calibri" w:eastAsia="Times New Roman" w:hAnsi="Calibri" w:cs="Calibri" w:hint="cs"/>
          <w:color w:val="0D0D0D"/>
          <w:sz w:val="27"/>
          <w:szCs w:val="27"/>
          <w:rtl/>
        </w:rPr>
        <w:t> </w:t>
      </w:r>
      <w:r w:rsidRPr="00DC4643">
        <w:rPr>
          <w:rFonts w:ascii="Segoe UI" w:eastAsia="Times New Roman" w:hAnsi="Segoe UI" w:cs="B Zar"/>
          <w:b/>
          <w:bCs/>
          <w:color w:val="0D0D0D"/>
          <w:sz w:val="27"/>
          <w:szCs w:val="27"/>
          <w:rtl/>
        </w:rPr>
        <w:t>اصول شفافیت و انصاف</w:t>
      </w:r>
      <w:r w:rsidRPr="00DC4643">
        <w:rPr>
          <w:rFonts w:ascii="Calibri" w:eastAsia="Times New Roman" w:hAnsi="Calibri" w:cs="Calibri" w:hint="cs"/>
          <w:color w:val="0D0D0D"/>
          <w:sz w:val="27"/>
          <w:szCs w:val="27"/>
          <w:rtl/>
        </w:rPr>
        <w:t> </w:t>
      </w:r>
      <w:r w:rsidRPr="00DC4643">
        <w:rPr>
          <w:rFonts w:ascii="Segoe UI" w:eastAsia="Times New Roman" w:hAnsi="Segoe UI" w:cs="B Zar"/>
          <w:color w:val="0D0D0D"/>
          <w:sz w:val="27"/>
          <w:szCs w:val="27"/>
          <w:rtl/>
        </w:rPr>
        <w:t>می‌تواند هم به نفع وام‌دهندگان (از طریق کاهش ریسک و هزینه) و هم به سود وام‌گیرندگان (از طریق دسترسی عادلانه‌تر به اعتبار) باشد</w:t>
      </w:r>
      <w:hyperlink r:id="rId40" w:anchor=":~:text=%28Proudman%202018%29,data%20sources%20that%20are%20collected" w:tgtFrame="_blank" w:history="1">
        <w:r>
          <w:rPr>
            <w:rFonts w:ascii="Segoe UI" w:eastAsia="Times New Roman" w:hAnsi="Segoe UI" w:cs="B Zar"/>
            <w:color w:val="2964AA"/>
            <w:sz w:val="14"/>
            <w:szCs w:val="14"/>
          </w:rPr>
          <w:t xml:space="preserve"> </w:t>
        </w:r>
      </w:hyperlink>
      <w:hyperlink r:id="rId41" w:anchor=":~:text=Algorithms%20that%20search%20through%20alternative,scoring%20methods%20be%20assessed%20within" w:tgtFrame="_blank" w:history="1">
        <w:r>
          <w:rPr>
            <w:rFonts w:ascii="Segoe UI" w:eastAsia="Times New Roman" w:hAnsi="Segoe UI" w:cs="B Zar"/>
            <w:color w:val="2964AA"/>
            <w:sz w:val="14"/>
            <w:szCs w:val="14"/>
          </w:rPr>
          <w:t xml:space="preserve"> </w:t>
        </w:r>
      </w:hyperlink>
      <w:r w:rsidRPr="00DC4643">
        <w:rPr>
          <w:rFonts w:ascii="Segoe UI" w:eastAsia="Times New Roman" w:hAnsi="Segoe UI" w:cs="B Zar"/>
          <w:color w:val="0D0D0D"/>
          <w:sz w:val="27"/>
          <w:szCs w:val="27"/>
        </w:rPr>
        <w:t xml:space="preserve">. </w:t>
      </w:r>
      <w:r w:rsidRPr="00DC4643">
        <w:rPr>
          <w:rFonts w:ascii="Segoe UI" w:eastAsia="Times New Roman" w:hAnsi="Segoe UI" w:cs="B Zar"/>
          <w:color w:val="0D0D0D"/>
          <w:sz w:val="27"/>
          <w:szCs w:val="27"/>
          <w:rtl/>
        </w:rPr>
        <w:lastRenderedPageBreak/>
        <w:t>مهم این است که سیاست‌گذاران و صنعت مالی در کنار هم حرکت کنند تا اعتبارسنجی هوشمند به شکلی مسئولانه توسعه یابد و اعتماد عمومی به سیستم مالی حفظ شود</w:t>
      </w:r>
      <w:r w:rsidRPr="00DC4643">
        <w:rPr>
          <w:rFonts w:ascii="Segoe UI" w:eastAsia="Times New Roman" w:hAnsi="Segoe UI" w:cs="B Zar"/>
          <w:color w:val="0D0D0D"/>
          <w:sz w:val="27"/>
          <w:szCs w:val="27"/>
        </w:rPr>
        <w:t>.</w:t>
      </w:r>
    </w:p>
    <w:p w14:paraId="34DE68F2" w14:textId="22634588" w:rsidR="009B07D8" w:rsidRDefault="00DC4643" w:rsidP="009B07D8">
      <w:pPr>
        <w:shd w:val="clear" w:color="auto" w:fill="FFFFFF"/>
        <w:bidi/>
        <w:spacing w:after="0" w:line="240" w:lineRule="auto"/>
      </w:pPr>
      <w:r w:rsidRPr="00DC4643">
        <w:rPr>
          <w:rFonts w:ascii="Segoe UI" w:eastAsia="Times New Roman" w:hAnsi="Segoe UI" w:cs="B Zar"/>
          <w:color w:val="0D0D0D"/>
          <w:sz w:val="24"/>
          <w:szCs w:val="24"/>
        </w:rPr>
        <w:t>Citations</w:t>
      </w:r>
    </w:p>
    <w:p w14:paraId="6A186B22" w14:textId="4E969E70" w:rsidR="00DC4643" w:rsidRPr="00DC4643" w:rsidRDefault="00DC4643" w:rsidP="00DC4643">
      <w:pPr>
        <w:shd w:val="clear" w:color="auto" w:fill="FFFFFF"/>
        <w:bidi/>
        <w:spacing w:after="0" w:line="240" w:lineRule="auto"/>
        <w:rPr>
          <w:rFonts w:ascii="Times New Roman" w:eastAsia="Times New Roman" w:hAnsi="Times New Roman" w:cs="B Zar"/>
          <w:color w:val="0000FF"/>
          <w:sz w:val="27"/>
          <w:szCs w:val="27"/>
          <w:u w:val="single"/>
        </w:rPr>
      </w:pPr>
      <w:r w:rsidRPr="00DC4643">
        <w:rPr>
          <w:rFonts w:ascii="Segoe UI" w:eastAsia="Times New Roman" w:hAnsi="Segoe UI" w:cs="B Zar"/>
          <w:color w:val="0D0D0D"/>
          <w:sz w:val="27"/>
          <w:szCs w:val="27"/>
        </w:rPr>
        <w:fldChar w:fldCharType="begin"/>
      </w:r>
      <w:r w:rsidRPr="00DC4643">
        <w:rPr>
          <w:rFonts w:ascii="Segoe UI" w:eastAsia="Times New Roman" w:hAnsi="Segoe UI" w:cs="B Zar"/>
          <w:color w:val="0D0D0D"/>
          <w:sz w:val="27"/>
          <w:szCs w:val="27"/>
        </w:rPr>
        <w:instrText xml:space="preserve"> HYPERLINK "https://thedocs.worldbank.org/en/doc/935891585869698451-0130022020/original/CREDITSCORINGAPPROACHESGUIDELINESFINALWEB.pdf" \l ":~:text=Bank%20thedocs,This%20guideline%20proffers%20seven%20policy" \t "_blank" </w:instrText>
      </w:r>
      <w:r w:rsidRPr="00DC4643">
        <w:rPr>
          <w:rFonts w:ascii="Segoe UI" w:eastAsia="Times New Roman" w:hAnsi="Segoe UI" w:cs="B Zar"/>
          <w:color w:val="0D0D0D"/>
          <w:sz w:val="27"/>
          <w:szCs w:val="27"/>
        </w:rPr>
      </w:r>
      <w:r w:rsidRPr="00DC4643">
        <w:rPr>
          <w:rFonts w:ascii="Segoe UI" w:eastAsia="Times New Roman" w:hAnsi="Segoe UI" w:cs="B Zar"/>
          <w:color w:val="0D0D0D"/>
          <w:sz w:val="27"/>
          <w:szCs w:val="27"/>
        </w:rPr>
        <w:fldChar w:fldCharType="separate"/>
      </w:r>
    </w:p>
    <w:p w14:paraId="45D2D6E3" w14:textId="77777777" w:rsidR="00DC4643" w:rsidRPr="00DC4643" w:rsidRDefault="00DC4643" w:rsidP="00DC4643">
      <w:pPr>
        <w:shd w:val="clear" w:color="auto" w:fill="FFFFFF"/>
        <w:bidi/>
        <w:spacing w:after="0" w:line="240" w:lineRule="auto"/>
        <w:rPr>
          <w:rFonts w:ascii="Times New Roman" w:eastAsia="Times New Roman" w:hAnsi="Times New Roman" w:cs="B Zar"/>
          <w:b/>
          <w:bCs/>
          <w:sz w:val="24"/>
          <w:szCs w:val="24"/>
        </w:rPr>
      </w:pPr>
      <w:r w:rsidRPr="00DC4643">
        <w:rPr>
          <w:rFonts w:ascii="Segoe UI" w:eastAsia="Times New Roman" w:hAnsi="Segoe UI" w:cs="B Zar"/>
          <w:b/>
          <w:bCs/>
          <w:color w:val="0000FF"/>
          <w:sz w:val="24"/>
          <w:szCs w:val="24"/>
          <w:u w:val="single"/>
        </w:rPr>
        <w:t>[PDF] CREDIT SCORING APPROACHES GUIDELINES - The World Bank</w:t>
      </w:r>
    </w:p>
    <w:p w14:paraId="1242690A" w14:textId="5387B03D" w:rsidR="009B07D8" w:rsidRPr="00DC4643" w:rsidRDefault="00DC4643" w:rsidP="009B07D8">
      <w:pPr>
        <w:shd w:val="clear" w:color="auto" w:fill="FFFFFF"/>
        <w:bidi/>
        <w:spacing w:after="0" w:line="240" w:lineRule="auto"/>
        <w:rPr>
          <w:rFonts w:ascii="Segoe UI" w:eastAsia="Times New Roman" w:hAnsi="Segoe UI" w:cs="B Zar"/>
          <w:color w:val="0D0D0D"/>
          <w:sz w:val="27"/>
          <w:szCs w:val="27"/>
        </w:rPr>
      </w:pPr>
      <w:r w:rsidRPr="00DC4643">
        <w:rPr>
          <w:rFonts w:ascii="Segoe UI" w:eastAsia="Times New Roman" w:hAnsi="Segoe UI" w:cs="B Zar"/>
          <w:color w:val="0D0D0D"/>
          <w:sz w:val="27"/>
          <w:szCs w:val="27"/>
        </w:rPr>
        <w:fldChar w:fldCharType="end"/>
      </w:r>
    </w:p>
    <w:p w14:paraId="6BCBF9A8" w14:textId="5DFD6436" w:rsidR="006A2618" w:rsidRPr="00DC4643" w:rsidRDefault="006A2618" w:rsidP="00DC4643">
      <w:pPr>
        <w:bidi/>
        <w:jc w:val="both"/>
        <w:rPr>
          <w:rFonts w:cs="B Zar"/>
          <w:sz w:val="28"/>
          <w:szCs w:val="28"/>
        </w:rPr>
      </w:pPr>
    </w:p>
    <w:sectPr w:rsidR="006A2618" w:rsidRPr="00DC4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D3505"/>
    <w:multiLevelType w:val="multilevel"/>
    <w:tmpl w:val="5A8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879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43"/>
    <w:rsid w:val="003D3451"/>
    <w:rsid w:val="004561AE"/>
    <w:rsid w:val="004C4D5E"/>
    <w:rsid w:val="006A2618"/>
    <w:rsid w:val="00754BD7"/>
    <w:rsid w:val="009538F5"/>
    <w:rsid w:val="009B07D8"/>
    <w:rsid w:val="009E54DE"/>
    <w:rsid w:val="00DC46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B5F6"/>
  <w15:chartTrackingRefBased/>
  <w15:docId w15:val="{A49B62CE-8D37-46FE-805C-490AAC03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46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46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6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464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C46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DC4643"/>
  </w:style>
  <w:style w:type="character" w:styleId="Hyperlink">
    <w:name w:val="Hyperlink"/>
    <w:basedOn w:val="DefaultParagraphFont"/>
    <w:uiPriority w:val="99"/>
    <w:semiHidden/>
    <w:unhideWhenUsed/>
    <w:rsid w:val="00DC4643"/>
    <w:rPr>
      <w:color w:val="0000FF"/>
      <w:u w:val="single"/>
    </w:rPr>
  </w:style>
  <w:style w:type="character" w:customStyle="1" w:styleId="max-w-full">
    <w:name w:val="max-w-full"/>
    <w:basedOn w:val="DefaultParagraphFont"/>
    <w:rsid w:val="00DC4643"/>
  </w:style>
  <w:style w:type="character" w:styleId="Strong">
    <w:name w:val="Strong"/>
    <w:basedOn w:val="DefaultParagraphFont"/>
    <w:uiPriority w:val="22"/>
    <w:qFormat/>
    <w:rsid w:val="00DC4643"/>
    <w:rPr>
      <w:b/>
      <w:bCs/>
    </w:rPr>
  </w:style>
  <w:style w:type="character" w:styleId="Emphasis">
    <w:name w:val="Emphasis"/>
    <w:basedOn w:val="DefaultParagraphFont"/>
    <w:uiPriority w:val="20"/>
    <w:qFormat/>
    <w:rsid w:val="00DC4643"/>
    <w:rPr>
      <w:i/>
      <w:iCs/>
    </w:rPr>
  </w:style>
  <w:style w:type="paragraph" w:customStyle="1" w:styleId="text-normal">
    <w:name w:val="text-normal"/>
    <w:basedOn w:val="Normal"/>
    <w:rsid w:val="00DC46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216054">
      <w:bodyDiv w:val="1"/>
      <w:marLeft w:val="0"/>
      <w:marRight w:val="0"/>
      <w:marTop w:val="0"/>
      <w:marBottom w:val="0"/>
      <w:divBdr>
        <w:top w:val="none" w:sz="0" w:space="0" w:color="auto"/>
        <w:left w:val="none" w:sz="0" w:space="0" w:color="auto"/>
        <w:bottom w:val="none" w:sz="0" w:space="0" w:color="auto"/>
        <w:right w:val="none" w:sz="0" w:space="0" w:color="auto"/>
      </w:divBdr>
      <w:divsChild>
        <w:div w:id="98919324">
          <w:marLeft w:val="0"/>
          <w:marRight w:val="0"/>
          <w:marTop w:val="0"/>
          <w:marBottom w:val="0"/>
          <w:divBdr>
            <w:top w:val="none" w:sz="0" w:space="0" w:color="auto"/>
            <w:left w:val="none" w:sz="0" w:space="0" w:color="auto"/>
            <w:bottom w:val="none" w:sz="0" w:space="0" w:color="auto"/>
            <w:right w:val="none" w:sz="0" w:space="0" w:color="auto"/>
          </w:divBdr>
          <w:divsChild>
            <w:div w:id="2115898282">
              <w:marLeft w:val="0"/>
              <w:marRight w:val="0"/>
              <w:marTop w:val="0"/>
              <w:marBottom w:val="0"/>
              <w:divBdr>
                <w:top w:val="none" w:sz="0" w:space="0" w:color="auto"/>
                <w:left w:val="none" w:sz="0" w:space="0" w:color="auto"/>
                <w:bottom w:val="none" w:sz="0" w:space="0" w:color="auto"/>
                <w:right w:val="none" w:sz="0" w:space="0" w:color="auto"/>
              </w:divBdr>
              <w:divsChild>
                <w:div w:id="17716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67041">
          <w:marLeft w:val="0"/>
          <w:marRight w:val="0"/>
          <w:marTop w:val="0"/>
          <w:marBottom w:val="0"/>
          <w:divBdr>
            <w:top w:val="none" w:sz="0" w:space="0" w:color="auto"/>
            <w:left w:val="none" w:sz="0" w:space="0" w:color="auto"/>
            <w:bottom w:val="none" w:sz="0" w:space="0" w:color="auto"/>
            <w:right w:val="none" w:sz="0" w:space="0" w:color="auto"/>
          </w:divBdr>
          <w:divsChild>
            <w:div w:id="1450314897">
              <w:marLeft w:val="0"/>
              <w:marRight w:val="0"/>
              <w:marTop w:val="0"/>
              <w:marBottom w:val="0"/>
              <w:divBdr>
                <w:top w:val="none" w:sz="0" w:space="0" w:color="auto"/>
                <w:left w:val="none" w:sz="0" w:space="0" w:color="auto"/>
                <w:bottom w:val="none" w:sz="0" w:space="0" w:color="auto"/>
                <w:right w:val="none" w:sz="0" w:space="0" w:color="auto"/>
              </w:divBdr>
              <w:divsChild>
                <w:div w:id="690228116">
                  <w:marLeft w:val="0"/>
                  <w:marRight w:val="0"/>
                  <w:marTop w:val="0"/>
                  <w:marBottom w:val="0"/>
                  <w:divBdr>
                    <w:top w:val="none" w:sz="0" w:space="0" w:color="auto"/>
                    <w:left w:val="none" w:sz="0" w:space="0" w:color="auto"/>
                    <w:bottom w:val="none" w:sz="0" w:space="0" w:color="auto"/>
                    <w:right w:val="none" w:sz="0" w:space="0" w:color="auto"/>
                  </w:divBdr>
                  <w:divsChild>
                    <w:div w:id="23095412">
                      <w:marLeft w:val="0"/>
                      <w:marRight w:val="0"/>
                      <w:marTop w:val="0"/>
                      <w:marBottom w:val="0"/>
                      <w:divBdr>
                        <w:top w:val="none" w:sz="0" w:space="0" w:color="auto"/>
                        <w:left w:val="none" w:sz="0" w:space="0" w:color="auto"/>
                        <w:bottom w:val="none" w:sz="0" w:space="0" w:color="auto"/>
                        <w:right w:val="none" w:sz="0" w:space="0" w:color="auto"/>
                      </w:divBdr>
                    </w:div>
                    <w:div w:id="1677422594">
                      <w:marLeft w:val="0"/>
                      <w:marRight w:val="0"/>
                      <w:marTop w:val="0"/>
                      <w:marBottom w:val="0"/>
                      <w:divBdr>
                        <w:top w:val="none" w:sz="0" w:space="0" w:color="auto"/>
                        <w:left w:val="none" w:sz="0" w:space="0" w:color="auto"/>
                        <w:bottom w:val="none" w:sz="0" w:space="0" w:color="auto"/>
                        <w:right w:val="none" w:sz="0" w:space="0" w:color="auto"/>
                      </w:divBdr>
                      <w:divsChild>
                        <w:div w:id="1444617404">
                          <w:marLeft w:val="0"/>
                          <w:marRight w:val="0"/>
                          <w:marTop w:val="0"/>
                          <w:marBottom w:val="0"/>
                          <w:divBdr>
                            <w:top w:val="none" w:sz="0" w:space="0" w:color="auto"/>
                            <w:left w:val="none" w:sz="0" w:space="0" w:color="auto"/>
                            <w:bottom w:val="none" w:sz="0" w:space="0" w:color="auto"/>
                            <w:right w:val="none" w:sz="0" w:space="0" w:color="auto"/>
                          </w:divBdr>
                        </w:div>
                        <w:div w:id="1653365622">
                          <w:marLeft w:val="0"/>
                          <w:marRight w:val="0"/>
                          <w:marTop w:val="0"/>
                          <w:marBottom w:val="0"/>
                          <w:divBdr>
                            <w:top w:val="none" w:sz="0" w:space="0" w:color="auto"/>
                            <w:left w:val="none" w:sz="0" w:space="0" w:color="auto"/>
                            <w:bottom w:val="none" w:sz="0" w:space="0" w:color="auto"/>
                            <w:right w:val="none" w:sz="0" w:space="0" w:color="auto"/>
                          </w:divBdr>
                        </w:div>
                        <w:div w:id="1633751488">
                          <w:marLeft w:val="0"/>
                          <w:marRight w:val="0"/>
                          <w:marTop w:val="0"/>
                          <w:marBottom w:val="0"/>
                          <w:divBdr>
                            <w:top w:val="none" w:sz="0" w:space="0" w:color="auto"/>
                            <w:left w:val="none" w:sz="0" w:space="0" w:color="auto"/>
                            <w:bottom w:val="none" w:sz="0" w:space="0" w:color="auto"/>
                            <w:right w:val="none" w:sz="0" w:space="0" w:color="auto"/>
                          </w:divBdr>
                        </w:div>
                        <w:div w:id="1677730173">
                          <w:marLeft w:val="0"/>
                          <w:marRight w:val="0"/>
                          <w:marTop w:val="0"/>
                          <w:marBottom w:val="0"/>
                          <w:divBdr>
                            <w:top w:val="none" w:sz="0" w:space="0" w:color="auto"/>
                            <w:left w:val="none" w:sz="0" w:space="0" w:color="auto"/>
                            <w:bottom w:val="none" w:sz="0" w:space="0" w:color="auto"/>
                            <w:right w:val="none" w:sz="0" w:space="0" w:color="auto"/>
                          </w:divBdr>
                        </w:div>
                        <w:div w:id="2059625314">
                          <w:marLeft w:val="0"/>
                          <w:marRight w:val="0"/>
                          <w:marTop w:val="0"/>
                          <w:marBottom w:val="0"/>
                          <w:divBdr>
                            <w:top w:val="none" w:sz="0" w:space="0" w:color="auto"/>
                            <w:left w:val="none" w:sz="0" w:space="0" w:color="auto"/>
                            <w:bottom w:val="none" w:sz="0" w:space="0" w:color="auto"/>
                            <w:right w:val="none" w:sz="0" w:space="0" w:color="auto"/>
                          </w:divBdr>
                        </w:div>
                        <w:div w:id="1428035775">
                          <w:marLeft w:val="0"/>
                          <w:marRight w:val="0"/>
                          <w:marTop w:val="0"/>
                          <w:marBottom w:val="0"/>
                          <w:divBdr>
                            <w:top w:val="none" w:sz="0" w:space="0" w:color="auto"/>
                            <w:left w:val="none" w:sz="0" w:space="0" w:color="auto"/>
                            <w:bottom w:val="none" w:sz="0" w:space="0" w:color="auto"/>
                            <w:right w:val="none" w:sz="0" w:space="0" w:color="auto"/>
                          </w:divBdr>
                        </w:div>
                        <w:div w:id="1198271643">
                          <w:marLeft w:val="0"/>
                          <w:marRight w:val="0"/>
                          <w:marTop w:val="0"/>
                          <w:marBottom w:val="0"/>
                          <w:divBdr>
                            <w:top w:val="none" w:sz="0" w:space="0" w:color="auto"/>
                            <w:left w:val="none" w:sz="0" w:space="0" w:color="auto"/>
                            <w:bottom w:val="none" w:sz="0" w:space="0" w:color="auto"/>
                            <w:right w:val="none" w:sz="0" w:space="0" w:color="auto"/>
                          </w:divBdr>
                        </w:div>
                        <w:div w:id="1049494974">
                          <w:marLeft w:val="0"/>
                          <w:marRight w:val="0"/>
                          <w:marTop w:val="0"/>
                          <w:marBottom w:val="0"/>
                          <w:divBdr>
                            <w:top w:val="none" w:sz="0" w:space="0" w:color="auto"/>
                            <w:left w:val="none" w:sz="0" w:space="0" w:color="auto"/>
                            <w:bottom w:val="none" w:sz="0" w:space="0" w:color="auto"/>
                            <w:right w:val="none" w:sz="0" w:space="0" w:color="auto"/>
                          </w:divBdr>
                        </w:div>
                        <w:div w:id="510724269">
                          <w:marLeft w:val="0"/>
                          <w:marRight w:val="0"/>
                          <w:marTop w:val="0"/>
                          <w:marBottom w:val="0"/>
                          <w:divBdr>
                            <w:top w:val="none" w:sz="0" w:space="0" w:color="auto"/>
                            <w:left w:val="none" w:sz="0" w:space="0" w:color="auto"/>
                            <w:bottom w:val="none" w:sz="0" w:space="0" w:color="auto"/>
                            <w:right w:val="none" w:sz="0" w:space="0" w:color="auto"/>
                          </w:divBdr>
                        </w:div>
                        <w:div w:id="40784689">
                          <w:marLeft w:val="0"/>
                          <w:marRight w:val="0"/>
                          <w:marTop w:val="0"/>
                          <w:marBottom w:val="0"/>
                          <w:divBdr>
                            <w:top w:val="none" w:sz="0" w:space="0" w:color="auto"/>
                            <w:left w:val="none" w:sz="0" w:space="0" w:color="auto"/>
                            <w:bottom w:val="none" w:sz="0" w:space="0" w:color="auto"/>
                            <w:right w:val="none" w:sz="0" w:space="0" w:color="auto"/>
                          </w:divBdr>
                        </w:div>
                        <w:div w:id="1987321737">
                          <w:marLeft w:val="0"/>
                          <w:marRight w:val="0"/>
                          <w:marTop w:val="0"/>
                          <w:marBottom w:val="0"/>
                          <w:divBdr>
                            <w:top w:val="none" w:sz="0" w:space="0" w:color="auto"/>
                            <w:left w:val="none" w:sz="0" w:space="0" w:color="auto"/>
                            <w:bottom w:val="none" w:sz="0" w:space="0" w:color="auto"/>
                            <w:right w:val="none" w:sz="0" w:space="0" w:color="auto"/>
                          </w:divBdr>
                        </w:div>
                        <w:div w:id="1737774036">
                          <w:marLeft w:val="0"/>
                          <w:marRight w:val="0"/>
                          <w:marTop w:val="0"/>
                          <w:marBottom w:val="0"/>
                          <w:divBdr>
                            <w:top w:val="none" w:sz="0" w:space="0" w:color="auto"/>
                            <w:left w:val="none" w:sz="0" w:space="0" w:color="auto"/>
                            <w:bottom w:val="none" w:sz="0" w:space="0" w:color="auto"/>
                            <w:right w:val="none" w:sz="0" w:space="0" w:color="auto"/>
                          </w:divBdr>
                        </w:div>
                        <w:div w:id="1598754216">
                          <w:marLeft w:val="0"/>
                          <w:marRight w:val="0"/>
                          <w:marTop w:val="0"/>
                          <w:marBottom w:val="0"/>
                          <w:divBdr>
                            <w:top w:val="none" w:sz="0" w:space="0" w:color="auto"/>
                            <w:left w:val="none" w:sz="0" w:space="0" w:color="auto"/>
                            <w:bottom w:val="none" w:sz="0" w:space="0" w:color="auto"/>
                            <w:right w:val="none" w:sz="0" w:space="0" w:color="auto"/>
                          </w:divBdr>
                        </w:div>
                        <w:div w:id="902057533">
                          <w:marLeft w:val="0"/>
                          <w:marRight w:val="0"/>
                          <w:marTop w:val="0"/>
                          <w:marBottom w:val="0"/>
                          <w:divBdr>
                            <w:top w:val="none" w:sz="0" w:space="0" w:color="auto"/>
                            <w:left w:val="none" w:sz="0" w:space="0" w:color="auto"/>
                            <w:bottom w:val="none" w:sz="0" w:space="0" w:color="auto"/>
                            <w:right w:val="none" w:sz="0" w:space="0" w:color="auto"/>
                          </w:divBdr>
                        </w:div>
                        <w:div w:id="1838617370">
                          <w:marLeft w:val="0"/>
                          <w:marRight w:val="0"/>
                          <w:marTop w:val="0"/>
                          <w:marBottom w:val="0"/>
                          <w:divBdr>
                            <w:top w:val="none" w:sz="0" w:space="0" w:color="auto"/>
                            <w:left w:val="none" w:sz="0" w:space="0" w:color="auto"/>
                            <w:bottom w:val="none" w:sz="0" w:space="0" w:color="auto"/>
                            <w:right w:val="none" w:sz="0" w:space="0" w:color="auto"/>
                          </w:divBdr>
                        </w:div>
                        <w:div w:id="583303132">
                          <w:marLeft w:val="0"/>
                          <w:marRight w:val="0"/>
                          <w:marTop w:val="0"/>
                          <w:marBottom w:val="0"/>
                          <w:divBdr>
                            <w:top w:val="none" w:sz="0" w:space="0" w:color="auto"/>
                            <w:left w:val="none" w:sz="0" w:space="0" w:color="auto"/>
                            <w:bottom w:val="none" w:sz="0" w:space="0" w:color="auto"/>
                            <w:right w:val="none" w:sz="0" w:space="0" w:color="auto"/>
                          </w:divBdr>
                        </w:div>
                        <w:div w:id="1336496550">
                          <w:marLeft w:val="0"/>
                          <w:marRight w:val="0"/>
                          <w:marTop w:val="0"/>
                          <w:marBottom w:val="0"/>
                          <w:divBdr>
                            <w:top w:val="none" w:sz="0" w:space="0" w:color="auto"/>
                            <w:left w:val="none" w:sz="0" w:space="0" w:color="auto"/>
                            <w:bottom w:val="none" w:sz="0" w:space="0" w:color="auto"/>
                            <w:right w:val="none" w:sz="0" w:space="0" w:color="auto"/>
                          </w:divBdr>
                        </w:div>
                        <w:div w:id="268045634">
                          <w:marLeft w:val="0"/>
                          <w:marRight w:val="0"/>
                          <w:marTop w:val="0"/>
                          <w:marBottom w:val="0"/>
                          <w:divBdr>
                            <w:top w:val="none" w:sz="0" w:space="0" w:color="auto"/>
                            <w:left w:val="none" w:sz="0" w:space="0" w:color="auto"/>
                            <w:bottom w:val="none" w:sz="0" w:space="0" w:color="auto"/>
                            <w:right w:val="none" w:sz="0" w:space="0" w:color="auto"/>
                          </w:divBdr>
                        </w:div>
                        <w:div w:id="87892080">
                          <w:marLeft w:val="0"/>
                          <w:marRight w:val="0"/>
                          <w:marTop w:val="0"/>
                          <w:marBottom w:val="0"/>
                          <w:divBdr>
                            <w:top w:val="none" w:sz="0" w:space="0" w:color="auto"/>
                            <w:left w:val="none" w:sz="0" w:space="0" w:color="auto"/>
                            <w:bottom w:val="none" w:sz="0" w:space="0" w:color="auto"/>
                            <w:right w:val="none" w:sz="0" w:space="0" w:color="auto"/>
                          </w:divBdr>
                        </w:div>
                        <w:div w:id="1867015550">
                          <w:marLeft w:val="0"/>
                          <w:marRight w:val="0"/>
                          <w:marTop w:val="0"/>
                          <w:marBottom w:val="0"/>
                          <w:divBdr>
                            <w:top w:val="none" w:sz="0" w:space="0" w:color="auto"/>
                            <w:left w:val="none" w:sz="0" w:space="0" w:color="auto"/>
                            <w:bottom w:val="none" w:sz="0" w:space="0" w:color="auto"/>
                            <w:right w:val="none" w:sz="0" w:space="0" w:color="auto"/>
                          </w:divBdr>
                        </w:div>
                        <w:div w:id="368649284">
                          <w:marLeft w:val="0"/>
                          <w:marRight w:val="0"/>
                          <w:marTop w:val="0"/>
                          <w:marBottom w:val="0"/>
                          <w:divBdr>
                            <w:top w:val="none" w:sz="0" w:space="0" w:color="auto"/>
                            <w:left w:val="none" w:sz="0" w:space="0" w:color="auto"/>
                            <w:bottom w:val="none" w:sz="0" w:space="0" w:color="auto"/>
                            <w:right w:val="none" w:sz="0" w:space="0" w:color="auto"/>
                          </w:divBdr>
                        </w:div>
                        <w:div w:id="941761392">
                          <w:marLeft w:val="0"/>
                          <w:marRight w:val="0"/>
                          <w:marTop w:val="0"/>
                          <w:marBottom w:val="0"/>
                          <w:divBdr>
                            <w:top w:val="none" w:sz="0" w:space="0" w:color="auto"/>
                            <w:left w:val="none" w:sz="0" w:space="0" w:color="auto"/>
                            <w:bottom w:val="none" w:sz="0" w:space="0" w:color="auto"/>
                            <w:right w:val="none" w:sz="0" w:space="0" w:color="auto"/>
                          </w:divBdr>
                        </w:div>
                        <w:div w:id="1913461456">
                          <w:marLeft w:val="0"/>
                          <w:marRight w:val="0"/>
                          <w:marTop w:val="0"/>
                          <w:marBottom w:val="0"/>
                          <w:divBdr>
                            <w:top w:val="none" w:sz="0" w:space="0" w:color="auto"/>
                            <w:left w:val="none" w:sz="0" w:space="0" w:color="auto"/>
                            <w:bottom w:val="none" w:sz="0" w:space="0" w:color="auto"/>
                            <w:right w:val="none" w:sz="0" w:space="0" w:color="auto"/>
                          </w:divBdr>
                        </w:div>
                        <w:div w:id="1802075172">
                          <w:marLeft w:val="0"/>
                          <w:marRight w:val="0"/>
                          <w:marTop w:val="0"/>
                          <w:marBottom w:val="0"/>
                          <w:divBdr>
                            <w:top w:val="none" w:sz="0" w:space="0" w:color="auto"/>
                            <w:left w:val="none" w:sz="0" w:space="0" w:color="auto"/>
                            <w:bottom w:val="none" w:sz="0" w:space="0" w:color="auto"/>
                            <w:right w:val="none" w:sz="0" w:space="0" w:color="auto"/>
                          </w:divBdr>
                        </w:div>
                        <w:div w:id="1472403458">
                          <w:marLeft w:val="0"/>
                          <w:marRight w:val="0"/>
                          <w:marTop w:val="0"/>
                          <w:marBottom w:val="0"/>
                          <w:divBdr>
                            <w:top w:val="none" w:sz="0" w:space="0" w:color="auto"/>
                            <w:left w:val="none" w:sz="0" w:space="0" w:color="auto"/>
                            <w:bottom w:val="none" w:sz="0" w:space="0" w:color="auto"/>
                            <w:right w:val="none" w:sz="0" w:space="0" w:color="auto"/>
                          </w:divBdr>
                        </w:div>
                        <w:div w:id="130681279">
                          <w:marLeft w:val="0"/>
                          <w:marRight w:val="0"/>
                          <w:marTop w:val="0"/>
                          <w:marBottom w:val="0"/>
                          <w:divBdr>
                            <w:top w:val="none" w:sz="0" w:space="0" w:color="auto"/>
                            <w:left w:val="none" w:sz="0" w:space="0" w:color="auto"/>
                            <w:bottom w:val="none" w:sz="0" w:space="0" w:color="auto"/>
                            <w:right w:val="none" w:sz="0" w:space="0" w:color="auto"/>
                          </w:divBdr>
                        </w:div>
                        <w:div w:id="83457337">
                          <w:marLeft w:val="0"/>
                          <w:marRight w:val="0"/>
                          <w:marTop w:val="0"/>
                          <w:marBottom w:val="0"/>
                          <w:divBdr>
                            <w:top w:val="none" w:sz="0" w:space="0" w:color="auto"/>
                            <w:left w:val="none" w:sz="0" w:space="0" w:color="auto"/>
                            <w:bottom w:val="none" w:sz="0" w:space="0" w:color="auto"/>
                            <w:right w:val="none" w:sz="0" w:space="0" w:color="auto"/>
                          </w:divBdr>
                        </w:div>
                        <w:div w:id="232089447">
                          <w:marLeft w:val="0"/>
                          <w:marRight w:val="0"/>
                          <w:marTop w:val="0"/>
                          <w:marBottom w:val="0"/>
                          <w:divBdr>
                            <w:top w:val="none" w:sz="0" w:space="0" w:color="auto"/>
                            <w:left w:val="none" w:sz="0" w:space="0" w:color="auto"/>
                            <w:bottom w:val="none" w:sz="0" w:space="0" w:color="auto"/>
                            <w:right w:val="none" w:sz="0" w:space="0" w:color="auto"/>
                          </w:divBdr>
                        </w:div>
                        <w:div w:id="1304964130">
                          <w:marLeft w:val="0"/>
                          <w:marRight w:val="0"/>
                          <w:marTop w:val="0"/>
                          <w:marBottom w:val="0"/>
                          <w:divBdr>
                            <w:top w:val="none" w:sz="0" w:space="0" w:color="auto"/>
                            <w:left w:val="none" w:sz="0" w:space="0" w:color="auto"/>
                            <w:bottom w:val="none" w:sz="0" w:space="0" w:color="auto"/>
                            <w:right w:val="none" w:sz="0" w:space="0" w:color="auto"/>
                          </w:divBdr>
                        </w:div>
                        <w:div w:id="561722459">
                          <w:marLeft w:val="0"/>
                          <w:marRight w:val="0"/>
                          <w:marTop w:val="0"/>
                          <w:marBottom w:val="0"/>
                          <w:divBdr>
                            <w:top w:val="none" w:sz="0" w:space="0" w:color="auto"/>
                            <w:left w:val="none" w:sz="0" w:space="0" w:color="auto"/>
                            <w:bottom w:val="none" w:sz="0" w:space="0" w:color="auto"/>
                            <w:right w:val="none" w:sz="0" w:space="0" w:color="auto"/>
                          </w:divBdr>
                        </w:div>
                        <w:div w:id="1323315285">
                          <w:marLeft w:val="0"/>
                          <w:marRight w:val="0"/>
                          <w:marTop w:val="0"/>
                          <w:marBottom w:val="0"/>
                          <w:divBdr>
                            <w:top w:val="none" w:sz="0" w:space="0" w:color="auto"/>
                            <w:left w:val="none" w:sz="0" w:space="0" w:color="auto"/>
                            <w:bottom w:val="none" w:sz="0" w:space="0" w:color="auto"/>
                            <w:right w:val="none" w:sz="0" w:space="0" w:color="auto"/>
                          </w:divBdr>
                        </w:div>
                        <w:div w:id="949355311">
                          <w:marLeft w:val="0"/>
                          <w:marRight w:val="0"/>
                          <w:marTop w:val="0"/>
                          <w:marBottom w:val="0"/>
                          <w:divBdr>
                            <w:top w:val="none" w:sz="0" w:space="0" w:color="auto"/>
                            <w:left w:val="none" w:sz="0" w:space="0" w:color="auto"/>
                            <w:bottom w:val="none" w:sz="0" w:space="0" w:color="auto"/>
                            <w:right w:val="none" w:sz="0" w:space="0" w:color="auto"/>
                          </w:divBdr>
                        </w:div>
                        <w:div w:id="266423942">
                          <w:marLeft w:val="0"/>
                          <w:marRight w:val="0"/>
                          <w:marTop w:val="0"/>
                          <w:marBottom w:val="0"/>
                          <w:divBdr>
                            <w:top w:val="none" w:sz="0" w:space="0" w:color="auto"/>
                            <w:left w:val="none" w:sz="0" w:space="0" w:color="auto"/>
                            <w:bottom w:val="none" w:sz="0" w:space="0" w:color="auto"/>
                            <w:right w:val="none" w:sz="0" w:space="0" w:color="auto"/>
                          </w:divBdr>
                        </w:div>
                        <w:div w:id="1228957333">
                          <w:marLeft w:val="0"/>
                          <w:marRight w:val="0"/>
                          <w:marTop w:val="0"/>
                          <w:marBottom w:val="0"/>
                          <w:divBdr>
                            <w:top w:val="none" w:sz="0" w:space="0" w:color="auto"/>
                            <w:left w:val="none" w:sz="0" w:space="0" w:color="auto"/>
                            <w:bottom w:val="none" w:sz="0" w:space="0" w:color="auto"/>
                            <w:right w:val="none" w:sz="0" w:space="0" w:color="auto"/>
                          </w:divBdr>
                        </w:div>
                        <w:div w:id="1155344407">
                          <w:marLeft w:val="0"/>
                          <w:marRight w:val="0"/>
                          <w:marTop w:val="0"/>
                          <w:marBottom w:val="0"/>
                          <w:divBdr>
                            <w:top w:val="none" w:sz="0" w:space="0" w:color="auto"/>
                            <w:left w:val="none" w:sz="0" w:space="0" w:color="auto"/>
                            <w:bottom w:val="none" w:sz="0" w:space="0" w:color="auto"/>
                            <w:right w:val="none" w:sz="0" w:space="0" w:color="auto"/>
                          </w:divBdr>
                        </w:div>
                        <w:div w:id="393507385">
                          <w:marLeft w:val="0"/>
                          <w:marRight w:val="0"/>
                          <w:marTop w:val="0"/>
                          <w:marBottom w:val="0"/>
                          <w:divBdr>
                            <w:top w:val="none" w:sz="0" w:space="0" w:color="auto"/>
                            <w:left w:val="none" w:sz="0" w:space="0" w:color="auto"/>
                            <w:bottom w:val="none" w:sz="0" w:space="0" w:color="auto"/>
                            <w:right w:val="none" w:sz="0" w:space="0" w:color="auto"/>
                          </w:divBdr>
                        </w:div>
                        <w:div w:id="1879512926">
                          <w:marLeft w:val="0"/>
                          <w:marRight w:val="0"/>
                          <w:marTop w:val="0"/>
                          <w:marBottom w:val="0"/>
                          <w:divBdr>
                            <w:top w:val="none" w:sz="0" w:space="0" w:color="auto"/>
                            <w:left w:val="none" w:sz="0" w:space="0" w:color="auto"/>
                            <w:bottom w:val="none" w:sz="0" w:space="0" w:color="auto"/>
                            <w:right w:val="none" w:sz="0" w:space="0" w:color="auto"/>
                          </w:divBdr>
                        </w:div>
                        <w:div w:id="1021584878">
                          <w:marLeft w:val="0"/>
                          <w:marRight w:val="0"/>
                          <w:marTop w:val="0"/>
                          <w:marBottom w:val="0"/>
                          <w:divBdr>
                            <w:top w:val="none" w:sz="0" w:space="0" w:color="auto"/>
                            <w:left w:val="none" w:sz="0" w:space="0" w:color="auto"/>
                            <w:bottom w:val="none" w:sz="0" w:space="0" w:color="auto"/>
                            <w:right w:val="none" w:sz="0" w:space="0" w:color="auto"/>
                          </w:divBdr>
                        </w:div>
                        <w:div w:id="19469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1203">
                  <w:marLeft w:val="0"/>
                  <w:marRight w:val="0"/>
                  <w:marTop w:val="0"/>
                  <w:marBottom w:val="0"/>
                  <w:divBdr>
                    <w:top w:val="none" w:sz="0" w:space="0" w:color="auto"/>
                    <w:left w:val="none" w:sz="0" w:space="0" w:color="auto"/>
                    <w:bottom w:val="none" w:sz="0" w:space="0" w:color="auto"/>
                    <w:right w:val="none" w:sz="0" w:space="0" w:color="auto"/>
                  </w:divBdr>
                  <w:divsChild>
                    <w:div w:id="937249711">
                      <w:marLeft w:val="0"/>
                      <w:marRight w:val="0"/>
                      <w:marTop w:val="0"/>
                      <w:marBottom w:val="0"/>
                      <w:divBdr>
                        <w:top w:val="none" w:sz="0" w:space="0" w:color="auto"/>
                        <w:left w:val="none" w:sz="0" w:space="0" w:color="auto"/>
                        <w:bottom w:val="none" w:sz="0" w:space="0" w:color="auto"/>
                        <w:right w:val="none" w:sz="0" w:space="0" w:color="auto"/>
                      </w:divBdr>
                    </w:div>
                    <w:div w:id="1488596515">
                      <w:marLeft w:val="0"/>
                      <w:marRight w:val="0"/>
                      <w:marTop w:val="0"/>
                      <w:marBottom w:val="0"/>
                      <w:divBdr>
                        <w:top w:val="none" w:sz="0" w:space="0" w:color="auto"/>
                        <w:left w:val="none" w:sz="0" w:space="0" w:color="auto"/>
                        <w:bottom w:val="none" w:sz="0" w:space="0" w:color="auto"/>
                        <w:right w:val="none" w:sz="0" w:space="0" w:color="auto"/>
                      </w:divBdr>
                      <w:divsChild>
                        <w:div w:id="16334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ocs.worldbank.org/en/doc/935891585869698451-0130022020/original/CREDITSCORINGAPPROACHESGUIDELINESFINALWEB.pdf" TargetMode="External"/><Relationship Id="rId18" Type="http://schemas.openxmlformats.org/officeDocument/2006/relationships/hyperlink" Target="https://thedocs.worldbank.org/en/doc/935891585869698451-0130022020/original/CREDITSCORINGAPPROACHESGUIDELINESFINALWEB.pdf" TargetMode="External"/><Relationship Id="rId26" Type="http://schemas.openxmlformats.org/officeDocument/2006/relationships/hyperlink" Target="https://thedocs.worldbank.org/en/doc/935891585869698451-0130022020/original/CREDITSCORINGAPPROACHESGUIDELINESFINALWEB.pdf" TargetMode="External"/><Relationship Id="rId39" Type="http://schemas.openxmlformats.org/officeDocument/2006/relationships/hyperlink" Target="https://thedocs.worldbank.org/en/doc/935891585869698451-0130022020/original/CREDITSCORINGAPPROACHESGUIDELINESFINALWEB.pdf" TargetMode="External"/><Relationship Id="rId21" Type="http://schemas.openxmlformats.org/officeDocument/2006/relationships/hyperlink" Target="https://thedocs.worldbank.org/en/doc/935891585869698451-0130022020/original/CREDITSCORINGAPPROACHESGUIDELINESFINALWEB.pdf" TargetMode="External"/><Relationship Id="rId34" Type="http://schemas.openxmlformats.org/officeDocument/2006/relationships/hyperlink" Target="https://thedocs.worldbank.org/en/doc/935891585869698451-0130022020/original/CREDITSCORINGAPPROACHESGUIDELINESFINALWEB.pdf" TargetMode="External"/><Relationship Id="rId42" Type="http://schemas.openxmlformats.org/officeDocument/2006/relationships/fontTable" Target="fontTable.xml"/><Relationship Id="rId7" Type="http://schemas.openxmlformats.org/officeDocument/2006/relationships/hyperlink" Target="https://thedocs.worldbank.org/en/doc/935891585869698451-0130022020/original/CREDITSCORINGAPPROACHESGUIDELINESFINALWEB.pdf" TargetMode="External"/><Relationship Id="rId2" Type="http://schemas.openxmlformats.org/officeDocument/2006/relationships/styles" Target="styles.xml"/><Relationship Id="rId16" Type="http://schemas.openxmlformats.org/officeDocument/2006/relationships/hyperlink" Target="https://thedocs.worldbank.org/en/doc/935891585869698451-0130022020/original/CREDITSCORINGAPPROACHESGUIDELINESFINALWEB.pdf" TargetMode="External"/><Relationship Id="rId20" Type="http://schemas.openxmlformats.org/officeDocument/2006/relationships/hyperlink" Target="https://thedocs.worldbank.org/en/doc/935891585869698451-0130022020/original/CREDITSCORINGAPPROACHESGUIDELINESFINALWEB.pdf" TargetMode="External"/><Relationship Id="rId29" Type="http://schemas.openxmlformats.org/officeDocument/2006/relationships/hyperlink" Target="https://thedocs.worldbank.org/en/doc/935891585869698451-0130022020/original/CREDITSCORINGAPPROACHESGUIDELINESFINALWEB.pdf" TargetMode="External"/><Relationship Id="rId41" Type="http://schemas.openxmlformats.org/officeDocument/2006/relationships/hyperlink" Target="https://thedocs.worldbank.org/en/doc/935891585869698451-0130022020/original/CREDITSCORINGAPPROACHESGUIDELINESFINALWEB.pdf" TargetMode="External"/><Relationship Id="rId1" Type="http://schemas.openxmlformats.org/officeDocument/2006/relationships/numbering" Target="numbering.xml"/><Relationship Id="rId6" Type="http://schemas.openxmlformats.org/officeDocument/2006/relationships/hyperlink" Target="https://thedocs.worldbank.org/en/doc/935891585869698451-0130022020/original/CREDITSCORINGAPPROACHESGUIDELINESFINALWEB.pdf" TargetMode="External"/><Relationship Id="rId11" Type="http://schemas.openxmlformats.org/officeDocument/2006/relationships/hyperlink" Target="https://thedocs.worldbank.org/en/doc/935891585869698451-0130022020/original/CREDITSCORINGAPPROACHESGUIDELINESFINALWEB.pdf" TargetMode="External"/><Relationship Id="rId24" Type="http://schemas.openxmlformats.org/officeDocument/2006/relationships/hyperlink" Target="https://thedocs.worldbank.org/en/doc/935891585869698451-0130022020/original/CREDITSCORINGAPPROACHESGUIDELINESFINALWEB.pdf" TargetMode="External"/><Relationship Id="rId32" Type="http://schemas.openxmlformats.org/officeDocument/2006/relationships/hyperlink" Target="https://thedocs.worldbank.org/en/doc/935891585869698451-0130022020/original/CREDITSCORINGAPPROACHESGUIDELINESFINALWEB.pdf" TargetMode="External"/><Relationship Id="rId37" Type="http://schemas.openxmlformats.org/officeDocument/2006/relationships/hyperlink" Target="https://thedocs.worldbank.org/en/doc/935891585869698451-0130022020/original/CREDITSCORINGAPPROACHESGUIDELINESFINALWEB.pdf" TargetMode="External"/><Relationship Id="rId40" Type="http://schemas.openxmlformats.org/officeDocument/2006/relationships/hyperlink" Target="https://thedocs.worldbank.org/en/doc/935891585869698451-0130022020/original/CREDITSCORINGAPPROACHESGUIDELINESFINALWEB.pdf" TargetMode="External"/><Relationship Id="rId5" Type="http://schemas.openxmlformats.org/officeDocument/2006/relationships/hyperlink" Target="https://thedocs.worldbank.org/en/doc/935891585869698451-0130022020/original/CREDITSCORINGAPPROACHESGUIDELINESFINALWEB.pdf" TargetMode="External"/><Relationship Id="rId15" Type="http://schemas.openxmlformats.org/officeDocument/2006/relationships/hyperlink" Target="https://thedocs.worldbank.org/en/doc/935891585869698451-0130022020/original/CREDITSCORINGAPPROACHESGUIDELINESFINALWEB.pdf" TargetMode="External"/><Relationship Id="rId23" Type="http://schemas.openxmlformats.org/officeDocument/2006/relationships/hyperlink" Target="https://thedocs.worldbank.org/en/doc/935891585869698451-0130022020/original/CREDITSCORINGAPPROACHESGUIDELINESFINALWEB.pdf" TargetMode="External"/><Relationship Id="rId28" Type="http://schemas.openxmlformats.org/officeDocument/2006/relationships/hyperlink" Target="https://thedocs.worldbank.org/en/doc/935891585869698451-0130022020/original/CREDITSCORINGAPPROACHESGUIDELINESFINALWEB.pdf" TargetMode="External"/><Relationship Id="rId36" Type="http://schemas.openxmlformats.org/officeDocument/2006/relationships/hyperlink" Target="https://thedocs.worldbank.org/en/doc/935891585869698451-0130022020/original/CREDITSCORINGAPPROACHESGUIDELINESFINALWEB.pdf" TargetMode="External"/><Relationship Id="rId10" Type="http://schemas.openxmlformats.org/officeDocument/2006/relationships/hyperlink" Target="https://thedocs.worldbank.org/en/doc/935891585869698451-0130022020/original/CREDITSCORINGAPPROACHESGUIDELINESFINALWEB.pdf" TargetMode="External"/><Relationship Id="rId19" Type="http://schemas.openxmlformats.org/officeDocument/2006/relationships/hyperlink" Target="https://thedocs.worldbank.org/en/doc/935891585869698451-0130022020/original/CREDITSCORINGAPPROACHESGUIDELINESFINALWEB.pdf" TargetMode="External"/><Relationship Id="rId31" Type="http://schemas.openxmlformats.org/officeDocument/2006/relationships/hyperlink" Target="https://thedocs.worldbank.org/en/doc/935891585869698451-0130022020/original/CREDITSCORINGAPPROACHESGUIDELINESFINALWEB.pdf" TargetMode="External"/><Relationship Id="rId4" Type="http://schemas.openxmlformats.org/officeDocument/2006/relationships/webSettings" Target="webSettings.xml"/><Relationship Id="rId9" Type="http://schemas.openxmlformats.org/officeDocument/2006/relationships/hyperlink" Target="https://thedocs.worldbank.org/en/doc/935891585869698451-0130022020/original/CREDITSCORINGAPPROACHESGUIDELINESFINALWEB.pdf" TargetMode="External"/><Relationship Id="rId14" Type="http://schemas.openxmlformats.org/officeDocument/2006/relationships/hyperlink" Target="https://thedocs.worldbank.org/en/doc/935891585869698451-0130022020/original/CREDITSCORINGAPPROACHESGUIDELINESFINALWEB.pdf" TargetMode="External"/><Relationship Id="rId22" Type="http://schemas.openxmlformats.org/officeDocument/2006/relationships/hyperlink" Target="https://thedocs.worldbank.org/en/doc/935891585869698451-0130022020/original/CREDITSCORINGAPPROACHESGUIDELINESFINALWEB.pdf" TargetMode="External"/><Relationship Id="rId27" Type="http://schemas.openxmlformats.org/officeDocument/2006/relationships/hyperlink" Target="https://thedocs.worldbank.org/en/doc/935891585869698451-0130022020/original/CREDITSCORINGAPPROACHESGUIDELINESFINALWEB.pdf" TargetMode="External"/><Relationship Id="rId30" Type="http://schemas.openxmlformats.org/officeDocument/2006/relationships/hyperlink" Target="https://thedocs.worldbank.org/en/doc/935891585869698451-0130022020/original/CREDITSCORINGAPPROACHESGUIDELINESFINALWEB.pdf" TargetMode="External"/><Relationship Id="rId35" Type="http://schemas.openxmlformats.org/officeDocument/2006/relationships/hyperlink" Target="https://thedocs.worldbank.org/en/doc/935891585869698451-0130022020/original/CREDITSCORINGAPPROACHESGUIDELINESFINALWEB.pdf" TargetMode="External"/><Relationship Id="rId43" Type="http://schemas.openxmlformats.org/officeDocument/2006/relationships/theme" Target="theme/theme1.xml"/><Relationship Id="rId8" Type="http://schemas.openxmlformats.org/officeDocument/2006/relationships/hyperlink" Target="https://thedocs.worldbank.org/en/doc/935891585869698451-0130022020/original/CREDITSCORINGAPPROACHESGUIDELINESFINALWEB.pdf" TargetMode="External"/><Relationship Id="rId3" Type="http://schemas.openxmlformats.org/officeDocument/2006/relationships/settings" Target="settings.xml"/><Relationship Id="rId12" Type="http://schemas.openxmlformats.org/officeDocument/2006/relationships/hyperlink" Target="https://thedocs.worldbank.org/en/doc/935891585869698451-0130022020/original/CREDITSCORINGAPPROACHESGUIDELINESFINALWEB.pdf" TargetMode="External"/><Relationship Id="rId17" Type="http://schemas.openxmlformats.org/officeDocument/2006/relationships/hyperlink" Target="https://thedocs.worldbank.org/en/doc/935891585869698451-0130022020/original/CREDITSCORINGAPPROACHESGUIDELINESFINALWEB.pdf" TargetMode="External"/><Relationship Id="rId25" Type="http://schemas.openxmlformats.org/officeDocument/2006/relationships/hyperlink" Target="https://thedocs.worldbank.org/en/doc/935891585869698451-0130022020/original/CREDITSCORINGAPPROACHESGUIDELINESFINALWEB.pdf" TargetMode="External"/><Relationship Id="rId33" Type="http://schemas.openxmlformats.org/officeDocument/2006/relationships/hyperlink" Target="https://thedocs.worldbank.org/en/doc/935891585869698451-0130022020/original/CREDITSCORINGAPPROACHESGUIDELINESFINALWEB.pdf" TargetMode="External"/><Relationship Id="rId38" Type="http://schemas.openxmlformats.org/officeDocument/2006/relationships/hyperlink" Target="https://thedocs.worldbank.org/en/doc/935891585869698451-0130022020/original/CREDITSCORINGAPPROACHESGUIDELINESFINAL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3358</Words>
  <Characters>19146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nazzari</dc:creator>
  <cp:keywords/>
  <dc:description/>
  <cp:lastModifiedBy>Mostafa Nazzari</cp:lastModifiedBy>
  <cp:revision>2</cp:revision>
  <dcterms:created xsi:type="dcterms:W3CDTF">2025-07-12T11:09:00Z</dcterms:created>
  <dcterms:modified xsi:type="dcterms:W3CDTF">2025-07-12T12:26:00Z</dcterms:modified>
</cp:coreProperties>
</file>