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A524D" w14:textId="77777777" w:rsidR="00926A8B" w:rsidRPr="005C3D19" w:rsidRDefault="00926A8B" w:rsidP="005C3D19">
      <w:pPr>
        <w:pStyle w:val="Title"/>
      </w:pPr>
      <w:r w:rsidRPr="005C3D19">
        <w:rPr>
          <w:rtl/>
        </w:rPr>
        <w:t>ضرورت ایجاد پایگاه داده ملی مالی و اعتباری؛ تحلیل ساختار فعلی و مرور تجربه کشورها</w:t>
      </w:r>
    </w:p>
    <w:p w14:paraId="03143D53" w14:textId="77777777" w:rsidR="00926A8B" w:rsidRPr="0050580C" w:rsidRDefault="00F14898" w:rsidP="00E331BF">
      <w:r>
        <w:pict w14:anchorId="42EE1C58">
          <v:rect id="_x0000_i1025" style="width:0;height:1.5pt" o:hralign="right" o:hrstd="t" o:hr="t" fillcolor="#a0a0a0" stroked="f"/>
        </w:pict>
      </w:r>
    </w:p>
    <w:p w14:paraId="3A815B9D" w14:textId="0A7A597A" w:rsidR="00926A8B" w:rsidRPr="0050580C" w:rsidRDefault="00926A8B" w:rsidP="00AB0B9D">
      <w:pPr>
        <w:pStyle w:val="Heading1"/>
      </w:pPr>
      <w:r w:rsidRPr="0093601A">
        <w:rPr>
          <w:rtl/>
        </w:rPr>
        <w:t>مقدمه</w:t>
      </w:r>
    </w:p>
    <w:p w14:paraId="0FA4744D" w14:textId="77777777" w:rsidR="00926A8B" w:rsidRPr="00E331BF" w:rsidRDefault="00926A8B" w:rsidP="00E331BF">
      <w:r w:rsidRPr="00E331BF">
        <w:rPr>
          <w:rtl/>
        </w:rPr>
        <w:t>با گسترش اقتصاد دیجیتال و افزایش نیاز به تصمیم‌گیری‌های مبتنی بر داده، ایجاد یک پایگاه داده ملی در حوزه اطلاعات مالی و اعتباری به ضرورتی راهبردی برای کشورها بدل شده است. چنین پایگاه‌هایی با گردآوری اطلاعات مالی از منابع مختلف (بانک‌ها، مؤسسات اعتباری، ارائه‌دهندگان خدمات عمومی، شرکت‌های بیمه و ...) می‌توانند بستر تصمیم‌گیری کارآمدتر، رقابت‌پذیری بیشتر، گسترش شمول مالی و ارتقای سلامت بازارهای مالی را فراهم کنند</w:t>
      </w:r>
      <w:r w:rsidRPr="00E331BF">
        <w:t xml:space="preserve"> (World Bank, 2024).</w:t>
      </w:r>
    </w:p>
    <w:p w14:paraId="330E656C" w14:textId="77777777" w:rsidR="00926A8B" w:rsidRPr="00355903" w:rsidRDefault="00926A8B" w:rsidP="00E331BF">
      <w:r w:rsidRPr="0050580C">
        <w:rPr>
          <w:rtl/>
        </w:rPr>
        <w:t xml:space="preserve">در همین راستا، </w:t>
      </w:r>
      <w:r w:rsidRPr="00355903">
        <w:rPr>
          <w:rtl/>
        </w:rPr>
        <w:t>در اغلب کشورهای دنیا، این پایگاه‌ها توسط تعداد معدودی از شرکت‌های بزرگ اداره می‌شوند. این تمرکز اگرچه ممکن است در نگاه اول انحصارگونه به نظر برسد، اما در عمل نتیجه‌ای طبیعی از ساختار فنی، اقتصادی، حقوقی و امنیتی این حوزه است. در این گزارش، ضمن تبیین دلایل تمرکز پایگاه‌های اعتباری، به بررسی مزایا، تجارب کشورها و شروط موفقیت چنین نظامی پرداخته می‌شود</w:t>
      </w:r>
      <w:r w:rsidRPr="00355903">
        <w:t>.</w:t>
      </w:r>
    </w:p>
    <w:p w14:paraId="4A55A398" w14:textId="7821B9DD" w:rsidR="00926A8B" w:rsidRPr="0050580C" w:rsidRDefault="00926A8B" w:rsidP="00AB0B9D">
      <w:pPr>
        <w:pStyle w:val="Heading1"/>
      </w:pPr>
      <w:r w:rsidRPr="0050580C">
        <w:rPr>
          <w:rtl/>
        </w:rPr>
        <w:t xml:space="preserve">چرایی </w:t>
      </w:r>
      <w:r w:rsidRPr="00AB0B9D">
        <w:rPr>
          <w:rtl/>
        </w:rPr>
        <w:t>تمرکزگرایی</w:t>
      </w:r>
      <w:r w:rsidRPr="0050580C">
        <w:rPr>
          <w:rtl/>
        </w:rPr>
        <w:t xml:space="preserve"> در ساختار پایگاه‌های اعتباری</w:t>
      </w:r>
    </w:p>
    <w:p w14:paraId="5271E35F" w14:textId="31B45115" w:rsidR="00926A8B" w:rsidRPr="00D61917" w:rsidRDefault="00926A8B" w:rsidP="00AB0B9D">
      <w:pPr>
        <w:pStyle w:val="Heading2"/>
      </w:pPr>
      <w:r w:rsidRPr="00D61917">
        <w:rPr>
          <w:rtl/>
        </w:rPr>
        <w:t xml:space="preserve">انحصار </w:t>
      </w:r>
      <w:r w:rsidRPr="00AB0B9D">
        <w:rPr>
          <w:rtl/>
        </w:rPr>
        <w:t>طبیعی</w:t>
      </w:r>
      <w:r w:rsidRPr="00D61917">
        <w:rPr>
          <w:rtl/>
        </w:rPr>
        <w:t xml:space="preserve"> و هزینه‌های ثابت بالا</w:t>
      </w:r>
    </w:p>
    <w:p w14:paraId="2552D72D" w14:textId="77777777" w:rsidR="0093601A" w:rsidRDefault="00926A8B" w:rsidP="0093601A">
      <w:pPr>
        <w:rPr>
          <w:rtl/>
        </w:rPr>
      </w:pPr>
      <w:r w:rsidRPr="0050580C">
        <w:rPr>
          <w:rtl/>
        </w:rPr>
        <w:t>یکی از مهم‌ترین عوامل تمرکز، ماهیت انحصار طبیعی در بازار اعتبارسنجی است. ایجاد یک پایگاه جامع اعتباری نیازمند سرمایه‌گذاری‌های کلان در حوزه‌هایی همچون زیرساخت‌های فناورانه، امنیت داده‌ها و شبکه‌های پیچیده گردآوری اطلاعات از بانک‌ها و مؤسسات مالی است. این هزینه‌های ثابت بالا، ورود شرکت‌های جدید را دشوار کرده و زمینه را برای تمرکز بازار فراهم می‌سازد</w:t>
      </w:r>
      <w:r w:rsidRPr="0050580C">
        <w:t>.</w:t>
      </w:r>
    </w:p>
    <w:p w14:paraId="2773B925" w14:textId="7B1665F8" w:rsidR="00926A8B" w:rsidRPr="0093601A" w:rsidRDefault="00926A8B" w:rsidP="00AB0B9D">
      <w:pPr>
        <w:pStyle w:val="Heading2"/>
      </w:pPr>
      <w:r w:rsidRPr="0093601A">
        <w:rPr>
          <w:rtl/>
        </w:rPr>
        <w:t>اثر شبکه‌ای و کیفیت داده</w:t>
      </w:r>
    </w:p>
    <w:p w14:paraId="1D927A83" w14:textId="77777777" w:rsidR="00926A8B" w:rsidRPr="0050580C" w:rsidRDefault="00926A8B" w:rsidP="00E331BF">
      <w:r w:rsidRPr="0050580C">
        <w:rPr>
          <w:rtl/>
        </w:rPr>
        <w:t xml:space="preserve">اثر شبکه‌ای نیز نقش مهمی در این ساختار دارد. هرچه یک شرکت اعتبارسنجی داده‌های بیشتری در اختیار داشته باشد، گزارش‌های آن دقیق‌تر و قابل‌اعتمادتر می‌شود. این موضوع باعث می‌شود بانک‌ها و نهادهای مالی ترجیح دهند با شرکت‌هایی همکاری کنند که دامنه پوشش داده‌ای وسیع‌تری دارند، و در نتیجه شرکت‌های بزرگ‌تر همچنان بزرگ‌تر می‌شوند. از سوی دیگر، پراکندگی داده‌ها میان چندین شرکت کوچک می‌تواند موجب کاهش انسجام و کیفیت تحلیل‌های اعتباری شود. به‌ویژه در شرایطی که مدل‌های مدرن اعتبارسنجی </w:t>
      </w:r>
      <w:r w:rsidRPr="0050580C">
        <w:rPr>
          <w:rFonts w:ascii="Arial" w:hAnsi="Arial" w:cs="Arial" w:hint="cs"/>
          <w:rtl/>
        </w:rPr>
        <w:t>–</w:t>
      </w:r>
      <w:r w:rsidRPr="0050580C">
        <w:rPr>
          <w:rtl/>
        </w:rPr>
        <w:t xml:space="preserve"> </w:t>
      </w:r>
      <w:r w:rsidRPr="0050580C">
        <w:rPr>
          <w:rFonts w:hint="cs"/>
          <w:rtl/>
        </w:rPr>
        <w:t>نظیر</w:t>
      </w:r>
      <w:r w:rsidRPr="0050580C">
        <w:rPr>
          <w:rtl/>
        </w:rPr>
        <w:t xml:space="preserve"> </w:t>
      </w:r>
      <w:r w:rsidRPr="0050580C">
        <w:rPr>
          <w:rFonts w:hint="cs"/>
          <w:rtl/>
        </w:rPr>
        <w:t>سامانه‌های</w:t>
      </w:r>
      <w:r w:rsidRPr="0050580C">
        <w:rPr>
          <w:rtl/>
        </w:rPr>
        <w:t xml:space="preserve"> </w:t>
      </w:r>
      <w:r w:rsidRPr="0050580C">
        <w:rPr>
          <w:rFonts w:hint="cs"/>
          <w:rtl/>
        </w:rPr>
        <w:t>مبتنی</w:t>
      </w:r>
      <w:r w:rsidRPr="0050580C">
        <w:rPr>
          <w:rtl/>
        </w:rPr>
        <w:t xml:space="preserve"> </w:t>
      </w:r>
      <w:r w:rsidRPr="0050580C">
        <w:rPr>
          <w:rFonts w:hint="cs"/>
          <w:rtl/>
        </w:rPr>
        <w:t>بر</w:t>
      </w:r>
      <w:r w:rsidRPr="0050580C">
        <w:rPr>
          <w:rtl/>
        </w:rPr>
        <w:t xml:space="preserve"> </w:t>
      </w:r>
      <w:r w:rsidRPr="0050580C">
        <w:rPr>
          <w:rFonts w:hint="cs"/>
          <w:rtl/>
        </w:rPr>
        <w:t>یادگیری</w:t>
      </w:r>
      <w:r w:rsidRPr="0050580C">
        <w:rPr>
          <w:rtl/>
        </w:rPr>
        <w:t xml:space="preserve"> </w:t>
      </w:r>
      <w:r w:rsidRPr="0050580C">
        <w:rPr>
          <w:rFonts w:hint="cs"/>
          <w:rtl/>
        </w:rPr>
        <w:t>م</w:t>
      </w:r>
      <w:r w:rsidRPr="0050580C">
        <w:rPr>
          <w:rtl/>
        </w:rPr>
        <w:t xml:space="preserve">اشین </w:t>
      </w:r>
      <w:r w:rsidRPr="0050580C">
        <w:rPr>
          <w:rFonts w:ascii="Arial" w:hAnsi="Arial" w:cs="Arial" w:hint="cs"/>
          <w:rtl/>
        </w:rPr>
        <w:t>–</w:t>
      </w:r>
      <w:r w:rsidRPr="0050580C">
        <w:rPr>
          <w:rtl/>
        </w:rPr>
        <w:t xml:space="preserve"> </w:t>
      </w:r>
      <w:r w:rsidRPr="0050580C">
        <w:rPr>
          <w:rFonts w:hint="cs"/>
          <w:rtl/>
        </w:rPr>
        <w:t>برای</w:t>
      </w:r>
      <w:r w:rsidRPr="0050580C">
        <w:rPr>
          <w:rtl/>
        </w:rPr>
        <w:t xml:space="preserve"> </w:t>
      </w:r>
      <w:r w:rsidRPr="0050580C">
        <w:rPr>
          <w:rFonts w:hint="cs"/>
          <w:rtl/>
        </w:rPr>
        <w:t>عملکرد</w:t>
      </w:r>
      <w:r w:rsidRPr="0050580C">
        <w:rPr>
          <w:rtl/>
        </w:rPr>
        <w:t xml:space="preserve"> </w:t>
      </w:r>
      <w:r w:rsidRPr="0050580C">
        <w:rPr>
          <w:rFonts w:hint="cs"/>
          <w:rtl/>
        </w:rPr>
        <w:t>دقیق،</w:t>
      </w:r>
      <w:r w:rsidRPr="0050580C">
        <w:rPr>
          <w:rtl/>
        </w:rPr>
        <w:t xml:space="preserve"> </w:t>
      </w:r>
      <w:r w:rsidRPr="0050580C">
        <w:rPr>
          <w:rFonts w:hint="cs"/>
          <w:rtl/>
        </w:rPr>
        <w:t>نیاز</w:t>
      </w:r>
      <w:r w:rsidRPr="0050580C">
        <w:rPr>
          <w:rtl/>
        </w:rPr>
        <w:t xml:space="preserve"> </w:t>
      </w:r>
      <w:r w:rsidRPr="0050580C">
        <w:rPr>
          <w:rFonts w:hint="cs"/>
          <w:rtl/>
        </w:rPr>
        <w:t>به</w:t>
      </w:r>
      <w:r w:rsidRPr="0050580C">
        <w:rPr>
          <w:rtl/>
        </w:rPr>
        <w:t xml:space="preserve"> </w:t>
      </w:r>
      <w:r w:rsidRPr="0050580C">
        <w:rPr>
          <w:rFonts w:hint="cs"/>
          <w:rtl/>
        </w:rPr>
        <w:t>داده‌های</w:t>
      </w:r>
      <w:r w:rsidRPr="0050580C">
        <w:rPr>
          <w:rtl/>
        </w:rPr>
        <w:t xml:space="preserve"> </w:t>
      </w:r>
      <w:r w:rsidRPr="0050580C">
        <w:rPr>
          <w:rFonts w:hint="cs"/>
          <w:rtl/>
        </w:rPr>
        <w:t>فراوان</w:t>
      </w:r>
      <w:r w:rsidRPr="0050580C">
        <w:rPr>
          <w:rtl/>
        </w:rPr>
        <w:t xml:space="preserve"> </w:t>
      </w:r>
      <w:r w:rsidRPr="0050580C">
        <w:rPr>
          <w:rFonts w:hint="cs"/>
          <w:rtl/>
        </w:rPr>
        <w:t>و</w:t>
      </w:r>
      <w:r w:rsidRPr="0050580C">
        <w:rPr>
          <w:rtl/>
        </w:rPr>
        <w:t xml:space="preserve"> </w:t>
      </w:r>
      <w:r w:rsidRPr="0050580C">
        <w:rPr>
          <w:rFonts w:hint="cs"/>
          <w:rtl/>
        </w:rPr>
        <w:t>یکپارچه</w:t>
      </w:r>
      <w:r w:rsidRPr="0050580C">
        <w:rPr>
          <w:rtl/>
        </w:rPr>
        <w:t xml:space="preserve"> </w:t>
      </w:r>
      <w:r w:rsidRPr="0050580C">
        <w:rPr>
          <w:rFonts w:hint="cs"/>
          <w:rtl/>
        </w:rPr>
        <w:t>دارند</w:t>
      </w:r>
      <w:r w:rsidRPr="0050580C">
        <w:t>.</w:t>
      </w:r>
    </w:p>
    <w:p w14:paraId="1772C4AA" w14:textId="077B5286" w:rsidR="00926A8B" w:rsidRPr="0050580C" w:rsidRDefault="00926A8B" w:rsidP="00AB0B9D">
      <w:pPr>
        <w:pStyle w:val="Heading2"/>
      </w:pPr>
      <w:r w:rsidRPr="0050580C">
        <w:rPr>
          <w:rtl/>
        </w:rPr>
        <w:t>ملاحظات امنیتی و حریم خصوصی</w:t>
      </w:r>
    </w:p>
    <w:p w14:paraId="28EF75C4" w14:textId="77777777" w:rsidR="00926A8B" w:rsidRPr="0050580C" w:rsidRDefault="00926A8B" w:rsidP="00E331BF">
      <w:r w:rsidRPr="0050580C">
        <w:rPr>
          <w:rtl/>
        </w:rPr>
        <w:lastRenderedPageBreak/>
        <w:t>مسائل مربوط به امنیت اطلاعات و حریم خصوصی نیز از دیگر دلایل تمرکز این حوزه است. اگر داده‌های مالی حساس افراد و شرکت‌ها در اختیار بازیگران متعدد قرار گیرد، احتمال سوءاستفاده، افشا یا نقض حریم خصوصی افزایش می‌یابد. بنابراین، محدودسازی تعداد شرکت‌های مجاز به دسترسی و تحلیل این اطلاعات، باعث افزایش کنترل نظارتی و کاهش ریسک‌های امنیتی می‌شود. در عین حال، اجرای مقررات سخت‌گیرانه‌ای همچون</w:t>
      </w:r>
      <w:r w:rsidRPr="0050580C">
        <w:t xml:space="preserve"> GDPR </w:t>
      </w:r>
      <w:r w:rsidRPr="0050580C">
        <w:rPr>
          <w:rtl/>
        </w:rPr>
        <w:t>در اتحادیه اروپا یا قوانین مشابه در دیگر کشورها، نیازمند توان مالی، حقوقی و فنی بالایی است که تنها شرکت‌های بزرگ از عهده آن برمی‌آیند</w:t>
      </w:r>
      <w:r w:rsidRPr="0050580C">
        <w:t>.</w:t>
      </w:r>
    </w:p>
    <w:p w14:paraId="0585A90A" w14:textId="0432AD83" w:rsidR="00926A8B" w:rsidRPr="0050580C" w:rsidRDefault="00926A8B" w:rsidP="00AB0B9D">
      <w:pPr>
        <w:pStyle w:val="Heading2"/>
      </w:pPr>
      <w:r w:rsidRPr="0050580C">
        <w:rPr>
          <w:rtl/>
        </w:rPr>
        <w:t>پیشینه تاریخی بازار</w:t>
      </w:r>
    </w:p>
    <w:p w14:paraId="73B28706" w14:textId="77777777" w:rsidR="00926A8B" w:rsidRPr="0050580C" w:rsidRDefault="00926A8B" w:rsidP="00E331BF">
      <w:r w:rsidRPr="0050580C">
        <w:rPr>
          <w:rtl/>
        </w:rPr>
        <w:t>در کنار عوامل فنی و حقوقی، روندهای تاریخی بازار نیز در شکل‌گیری این ساختار نقش داشته‌اند. در کشورهایی مانند آمریکا، شرکت‌های بزرگ اعتبارسنجی نظیر</w:t>
      </w:r>
      <w:r w:rsidRPr="0050580C">
        <w:t xml:space="preserve"> Experian </w:t>
      </w:r>
      <w:r w:rsidRPr="0050580C">
        <w:rPr>
          <w:rtl/>
        </w:rPr>
        <w:t>و</w:t>
      </w:r>
      <w:r w:rsidRPr="0050580C">
        <w:t xml:space="preserve"> Equifax</w:t>
      </w:r>
      <w:r w:rsidRPr="0050580C">
        <w:rPr>
          <w:rtl/>
        </w:rPr>
        <w:t>، طی سال‌ها و از طریق خرید و ادغام رقبای کوچک‌تر، به موقعیت کنونی خود دست یافته‌اند. در برخی کشورها نیز دولت مستقیماً با هدف جلوگیری از پراکندگی اطلاعات حساس، یک شرکت ملی اعتبارسنجی ایجاد کرده است؛ برای نمونه، چین با تأسیس شرکت</w:t>
      </w:r>
      <w:r w:rsidRPr="0050580C">
        <w:t xml:space="preserve"> </w:t>
      </w:r>
      <w:proofErr w:type="spellStart"/>
      <w:r w:rsidRPr="0050580C">
        <w:t>Baihang</w:t>
      </w:r>
      <w:proofErr w:type="spellEnd"/>
      <w:r w:rsidRPr="0050580C">
        <w:t xml:space="preserve"> Credit </w:t>
      </w:r>
      <w:r w:rsidRPr="0050580C">
        <w:rPr>
          <w:rtl/>
        </w:rPr>
        <w:t>چنین رویکردی را دنبال کرده است</w:t>
      </w:r>
      <w:r w:rsidRPr="0050580C">
        <w:t>.</w:t>
      </w:r>
    </w:p>
    <w:p w14:paraId="22F2D955" w14:textId="77777777" w:rsidR="00926A8B" w:rsidRPr="0050580C" w:rsidRDefault="00926A8B" w:rsidP="00E331BF">
      <w:r w:rsidRPr="0050580C">
        <w:rPr>
          <w:rtl/>
        </w:rPr>
        <w:t>در مجموع، تمرکز پایگاه‌های داده اعتباری نه‌تنها ناشی از محدودیت‌های رقابتی یا انحصارطلبی نیست، بلکه محصول طبیعی شرایط اقتصادی، فنی و نظارتی حاکم بر این صنعت است. با این حال، برای جلوگیری از سوءاستفاده از موقعیت انحصاری، وجود نهادهای نظارتی قوی، شفافیت در عملکرد شرکت‌ها و ایجاد فضای رقابتی حداقلی اما سازنده، الزامی است</w:t>
      </w:r>
      <w:r w:rsidRPr="0050580C">
        <w:t>.</w:t>
      </w:r>
    </w:p>
    <w:p w14:paraId="598857F0" w14:textId="77777777" w:rsidR="00926A8B" w:rsidRPr="0050580C" w:rsidRDefault="00F14898" w:rsidP="00E331BF">
      <w:r>
        <w:pict w14:anchorId="43C237AE">
          <v:rect id="_x0000_i1026" style="width:0;height:1.5pt" o:hralign="right" o:hrstd="t" o:hr="t" fillcolor="#a0a0a0" stroked="f"/>
        </w:pict>
      </w:r>
    </w:p>
    <w:p w14:paraId="5EA265A8" w14:textId="6A965DED" w:rsidR="00926A8B" w:rsidRPr="0050580C" w:rsidRDefault="00926A8B" w:rsidP="00AB0B9D">
      <w:pPr>
        <w:pStyle w:val="Heading1"/>
      </w:pPr>
      <w:r w:rsidRPr="0050580C">
        <w:t xml:space="preserve"> </w:t>
      </w:r>
      <w:r w:rsidRPr="0050580C">
        <w:rPr>
          <w:rtl/>
        </w:rPr>
        <w:t xml:space="preserve">مزایای کلان </w:t>
      </w:r>
      <w:r w:rsidRPr="00AB0B9D">
        <w:rPr>
          <w:rtl/>
        </w:rPr>
        <w:t>ایجاد</w:t>
      </w:r>
      <w:r w:rsidRPr="0050580C">
        <w:rPr>
          <w:rtl/>
        </w:rPr>
        <w:t xml:space="preserve"> پایگاه داده ملی مالی و اعتباری</w:t>
      </w:r>
    </w:p>
    <w:p w14:paraId="1722C536" w14:textId="1E076056" w:rsidR="00926A8B" w:rsidRPr="0050580C" w:rsidRDefault="00926A8B" w:rsidP="00AB0B9D">
      <w:pPr>
        <w:pStyle w:val="Heading2"/>
      </w:pPr>
      <w:r w:rsidRPr="0050580C">
        <w:rPr>
          <w:rtl/>
        </w:rPr>
        <w:t>ارتقاء دسترسی به تسهیلات برای گروه‌های مختلف اقتصادی</w:t>
      </w:r>
    </w:p>
    <w:p w14:paraId="2BF460AA" w14:textId="77777777" w:rsidR="00926A8B" w:rsidRPr="0050580C" w:rsidRDefault="00926A8B" w:rsidP="00E331BF">
      <w:r w:rsidRPr="0050580C">
        <w:rPr>
          <w:rtl/>
        </w:rPr>
        <w:t xml:space="preserve">یکی از مهم‌ترین مزایای پایگاه داده ملی، بهبود قابلیت ارزیابی ریسک اعتباری افراد و بنگاه‌ها است. با وجود چنین زیرساختی، بانک‌ها و مؤسسات مالی می‌توانند به سوابق واقعی و دقیق مشتریان دسترسی یابند و از این طریق، ریسک خود را کاهش داده و دامنه مشتریان خود را گسترش دهند. طبق گزارش بانک جهانی (2020)، کشورهایی که از پایگاه‌های داده اعتباری استفاده می‌کنند، به‌طور متوسط </w:t>
      </w:r>
      <w:r w:rsidRPr="0050580C">
        <w:rPr>
          <w:rtl/>
          <w:lang w:bidi="fa-IR"/>
        </w:rPr>
        <w:t>۴.۲</w:t>
      </w:r>
      <w:r w:rsidRPr="0050580C">
        <w:rPr>
          <w:rtl/>
        </w:rPr>
        <w:t xml:space="preserve"> درصد نرخ بالاتری از دسترسی بنگاه‌های کوچک و متوسط به تسهیلات را تجربه کرده‌اند</w:t>
      </w:r>
      <w:r w:rsidRPr="0050580C">
        <w:t xml:space="preserve"> (World Bank, 2020).</w:t>
      </w:r>
    </w:p>
    <w:p w14:paraId="592D2E80" w14:textId="77777777" w:rsidR="00926A8B" w:rsidRPr="0050580C" w:rsidRDefault="00926A8B" w:rsidP="00E331BF">
      <w:r w:rsidRPr="0050580C">
        <w:rPr>
          <w:b/>
          <w:bCs/>
          <w:rtl/>
        </w:rPr>
        <w:t>تجربه جهانی</w:t>
      </w:r>
      <w:r w:rsidRPr="0050580C">
        <w:rPr>
          <w:b/>
          <w:bCs/>
        </w:rPr>
        <w:t>:</w:t>
      </w:r>
      <w:r w:rsidRPr="0050580C">
        <w:t xml:space="preserve"> </w:t>
      </w:r>
      <w:r w:rsidRPr="0050580C">
        <w:rPr>
          <w:rtl/>
        </w:rPr>
        <w:t>در رواندا و کنیا، با ادغام داده‌های موبایلی و غیررسمی در نظام اعتباری، نرخ دسترسی به وام برای خانوارهای کم‌درآمد به‌طور معناداری افزایش یافت</w:t>
      </w:r>
      <w:r w:rsidRPr="0050580C">
        <w:t xml:space="preserve"> (World Bank, 2016).</w:t>
      </w:r>
    </w:p>
    <w:p w14:paraId="355DCF0D" w14:textId="1B4D49B5" w:rsidR="00926A8B" w:rsidRPr="0050580C" w:rsidRDefault="00926A8B" w:rsidP="00AB0B9D">
      <w:pPr>
        <w:pStyle w:val="Heading2"/>
      </w:pPr>
      <w:r w:rsidRPr="0050580C">
        <w:t xml:space="preserve"> </w:t>
      </w:r>
      <w:r w:rsidRPr="0050580C">
        <w:rPr>
          <w:rtl/>
        </w:rPr>
        <w:t>کاهش ریسک نکول و ارتقای انضباط مالی</w:t>
      </w:r>
    </w:p>
    <w:p w14:paraId="6ADCE46F" w14:textId="77777777" w:rsidR="00926A8B" w:rsidRPr="0050580C" w:rsidRDefault="00926A8B" w:rsidP="00E331BF">
      <w:r w:rsidRPr="0050580C">
        <w:rPr>
          <w:rtl/>
        </w:rPr>
        <w:lastRenderedPageBreak/>
        <w:t>داده‌های تاریخی در کشورهای مختلف نشان می‌دهد که پس از راه‌اندازی رجیستری‌های جامع مالی، میزان نکول کاهش چشمگیری می‌یابد. در بوسنی، بانک‌ها پس از راه‌اندازی رجیستری اعتباری، کاهش قابل توجهی در نرخ نکول مشاهده کردند</w:t>
      </w:r>
      <w:r w:rsidRPr="0050580C">
        <w:t xml:space="preserve"> (IMF, 2018a).</w:t>
      </w:r>
    </w:p>
    <w:p w14:paraId="373477CD" w14:textId="77777777" w:rsidR="00926A8B" w:rsidRPr="0050580C" w:rsidRDefault="00926A8B" w:rsidP="00E331BF">
      <w:r w:rsidRPr="0050580C">
        <w:rPr>
          <w:b/>
          <w:bCs/>
          <w:rtl/>
        </w:rPr>
        <w:t>نمونه موفق</w:t>
      </w:r>
      <w:r w:rsidRPr="0050580C">
        <w:rPr>
          <w:b/>
          <w:bCs/>
        </w:rPr>
        <w:t>:</w:t>
      </w:r>
      <w:r w:rsidRPr="0050580C">
        <w:t xml:space="preserve"> </w:t>
      </w:r>
      <w:r w:rsidRPr="0050580C">
        <w:rPr>
          <w:rtl/>
        </w:rPr>
        <w:t xml:space="preserve">در تانزانیا، راه‌اندازی سامانه اعتبارسنجی موجب کاهش </w:t>
      </w:r>
      <w:r w:rsidRPr="0050580C">
        <w:rPr>
          <w:rtl/>
          <w:lang w:bidi="fa-IR"/>
        </w:rPr>
        <w:t>۲۵</w:t>
      </w:r>
      <w:r w:rsidRPr="0050580C">
        <w:rPr>
          <w:rtl/>
        </w:rPr>
        <w:t xml:space="preserve"> درصدی در نرخ نکول وام‌های خرد در بازه </w:t>
      </w:r>
      <w:r w:rsidRPr="0050580C">
        <w:rPr>
          <w:rtl/>
          <w:lang w:bidi="fa-IR"/>
        </w:rPr>
        <w:t>۳</w:t>
      </w:r>
      <w:r w:rsidRPr="0050580C">
        <w:rPr>
          <w:rtl/>
        </w:rPr>
        <w:t xml:space="preserve"> ساله شد</w:t>
      </w:r>
      <w:r w:rsidRPr="0050580C">
        <w:t xml:space="preserve"> (IFC, 2017).</w:t>
      </w:r>
    </w:p>
    <w:p w14:paraId="72E4C883" w14:textId="529B308B" w:rsidR="00926A8B" w:rsidRPr="0050580C" w:rsidRDefault="00926A8B" w:rsidP="00AB0B9D">
      <w:pPr>
        <w:pStyle w:val="Heading2"/>
      </w:pPr>
      <w:r w:rsidRPr="0050580C">
        <w:t xml:space="preserve"> </w:t>
      </w:r>
      <w:r w:rsidRPr="0050580C">
        <w:rPr>
          <w:rtl/>
        </w:rPr>
        <w:t>تسهیل دسترسی به اعتبار برای اقشار فاقد سابقه بانکی</w:t>
      </w:r>
    </w:p>
    <w:p w14:paraId="4DED5003" w14:textId="77777777" w:rsidR="00926A8B" w:rsidRPr="0050580C" w:rsidRDefault="00926A8B" w:rsidP="00E331BF">
      <w:r w:rsidRPr="0050580C">
        <w:rPr>
          <w:rtl/>
        </w:rPr>
        <w:t>طبق آمار، حدود 1.7 میلیارد نفر در سراسر جهان فاقد سابقه اعتباری یا دارای سابقه بسیار محدود هستند. استفاده از داده‌های جایگزین (مانند پرداخت قبض، کارنامه بیمه یا تردد خودروی شخصی) می‌تواند دسترسی به اعتبار را برای این گروه‌ها فراهم کند</w:t>
      </w:r>
      <w:r w:rsidRPr="0050580C">
        <w:t>.</w:t>
      </w:r>
    </w:p>
    <w:p w14:paraId="242357D6" w14:textId="77777777" w:rsidR="00926A8B" w:rsidRPr="0050580C" w:rsidRDefault="00926A8B" w:rsidP="00E331BF">
      <w:r w:rsidRPr="0050580C">
        <w:rPr>
          <w:b/>
          <w:bCs/>
          <w:rtl/>
        </w:rPr>
        <w:t>نمونه موفق</w:t>
      </w:r>
      <w:r w:rsidRPr="0050580C">
        <w:rPr>
          <w:b/>
          <w:bCs/>
        </w:rPr>
        <w:t>:</w:t>
      </w:r>
      <w:r w:rsidRPr="0050580C">
        <w:t xml:space="preserve"> </w:t>
      </w:r>
      <w:r w:rsidRPr="0050580C">
        <w:rPr>
          <w:rtl/>
        </w:rPr>
        <w:t>در هند، شرکت‌های</w:t>
      </w:r>
      <w:r w:rsidRPr="0050580C">
        <w:t xml:space="preserve"> CIC </w:t>
      </w:r>
      <w:r w:rsidRPr="0050580C">
        <w:rPr>
          <w:rtl/>
        </w:rPr>
        <w:t xml:space="preserve">با ترکیب داده‌های سنتی و جایگزین، اعتبارسنجی بیش از </w:t>
      </w:r>
      <w:r w:rsidRPr="0050580C">
        <w:rPr>
          <w:rtl/>
          <w:lang w:bidi="fa-IR"/>
        </w:rPr>
        <w:t>۳۰۰</w:t>
      </w:r>
      <w:r w:rsidRPr="0050580C">
        <w:rPr>
          <w:rtl/>
        </w:rPr>
        <w:t xml:space="preserve"> میلیون نفر بدون سابقه بانکی را ممکن کرده‌اند</w:t>
      </w:r>
      <w:r w:rsidRPr="0050580C">
        <w:t>.</w:t>
      </w:r>
    </w:p>
    <w:p w14:paraId="7AED70EC" w14:textId="05548A0F" w:rsidR="00926A8B" w:rsidRPr="0050580C" w:rsidRDefault="00926A8B" w:rsidP="00AB0B9D">
      <w:pPr>
        <w:pStyle w:val="Heading2"/>
      </w:pPr>
      <w:r w:rsidRPr="0050580C">
        <w:rPr>
          <w:rtl/>
        </w:rPr>
        <w:t>تسهیل رقابت در بازار اعتبار</w:t>
      </w:r>
    </w:p>
    <w:p w14:paraId="0212192E" w14:textId="77777777" w:rsidR="00926A8B" w:rsidRPr="0050580C" w:rsidRDefault="00926A8B" w:rsidP="00E331BF">
      <w:r w:rsidRPr="0050580C">
        <w:rPr>
          <w:rtl/>
        </w:rPr>
        <w:t>در غیاب اطلاعات شفاف، مؤسسات مالی جدید امکان رقابت با بانک‌های بزرگ را ندارند؛ چراکه اطلاعات اعتباری صرفاً در اختیار چند نهاد محدود است. اما با ایجاد پایگاه داده ملی، همه بازیگران بازار به اطلاعات مشابهی دسترسی دارند و می‌توانند خدمات مالی را مبتنی بر تحلیل داده ارائه دهند</w:t>
      </w:r>
      <w:r w:rsidRPr="0050580C">
        <w:t>.</w:t>
      </w:r>
    </w:p>
    <w:p w14:paraId="0B5CAE8A" w14:textId="77777777" w:rsidR="00926A8B" w:rsidRPr="0050580C" w:rsidRDefault="00926A8B" w:rsidP="00E331BF">
      <w:r w:rsidRPr="0050580C">
        <w:rPr>
          <w:b/>
          <w:bCs/>
          <w:rtl/>
        </w:rPr>
        <w:t>نمونه بین‌المللی</w:t>
      </w:r>
      <w:r w:rsidRPr="0050580C">
        <w:rPr>
          <w:b/>
          <w:bCs/>
        </w:rPr>
        <w:t>:</w:t>
      </w:r>
      <w:r w:rsidRPr="0050580C">
        <w:t xml:space="preserve"> </w:t>
      </w:r>
      <w:r w:rsidRPr="0050580C">
        <w:rPr>
          <w:rtl/>
        </w:rPr>
        <w:t>در استرالیا، پس از اجرای سامانه «گزارش اعتباری جامع»، سهم فین‌تک‌ها در بازار اعتبارات مصرفی افزایش یافت و خدمات ارزان‌تری به مصرف‌کننده ارائه شد</w:t>
      </w:r>
      <w:r w:rsidRPr="0050580C">
        <w:t xml:space="preserve"> (ALRC, 2008).</w:t>
      </w:r>
    </w:p>
    <w:p w14:paraId="7DA099C8" w14:textId="3B42EB38" w:rsidR="00926A8B" w:rsidRPr="0050580C" w:rsidRDefault="00926A8B" w:rsidP="00AB0B9D">
      <w:pPr>
        <w:pStyle w:val="Heading2"/>
      </w:pPr>
      <w:r w:rsidRPr="0050580C">
        <w:rPr>
          <w:rtl/>
        </w:rPr>
        <w:t>ارتقای حکمرانی مالی و بهبود سیاست‌گذاری</w:t>
      </w:r>
    </w:p>
    <w:p w14:paraId="15388097" w14:textId="77777777" w:rsidR="00926A8B" w:rsidRPr="0050580C" w:rsidRDefault="00926A8B" w:rsidP="00E331BF">
      <w:r w:rsidRPr="0050580C">
        <w:rPr>
          <w:rtl/>
        </w:rPr>
        <w:t>تجمیع اطلاعات مالی در یک پایگاه ملی، به بانک مرکزی و نهادهای نظارتی امکان پایش مستمر بازار، شناسایی نقاط بحرانی و اعمال سیاست‌های پیشگیرانه را می‌دهد</w:t>
      </w:r>
      <w:r w:rsidRPr="0050580C">
        <w:t>.</w:t>
      </w:r>
    </w:p>
    <w:p w14:paraId="33A9DDA0" w14:textId="77777777" w:rsidR="00926A8B" w:rsidRPr="0050580C" w:rsidRDefault="00926A8B" w:rsidP="00E331BF">
      <w:r w:rsidRPr="0050580C">
        <w:rPr>
          <w:b/>
          <w:bCs/>
          <w:rtl/>
        </w:rPr>
        <w:t>تجربه هند</w:t>
      </w:r>
      <w:r w:rsidRPr="0050580C">
        <w:rPr>
          <w:b/>
          <w:bCs/>
        </w:rPr>
        <w:t>:</w:t>
      </w:r>
      <w:r w:rsidRPr="0050580C">
        <w:t xml:space="preserve"> </w:t>
      </w:r>
      <w:r w:rsidRPr="0050580C">
        <w:rPr>
          <w:rtl/>
        </w:rPr>
        <w:t>بانک مرکزی هند</w:t>
      </w:r>
      <w:r w:rsidRPr="0050580C">
        <w:t xml:space="preserve"> (RBI) </w:t>
      </w:r>
      <w:r w:rsidRPr="0050580C">
        <w:rPr>
          <w:rtl/>
        </w:rPr>
        <w:t>با استفاده از اطلاعات پایگاه مالی مرکزی، در دوران همه‌گیری کووید-</w:t>
      </w:r>
      <w:r w:rsidRPr="0050580C">
        <w:rPr>
          <w:rtl/>
          <w:lang w:bidi="fa-IR"/>
        </w:rPr>
        <w:t>۱۹</w:t>
      </w:r>
      <w:r w:rsidRPr="0050580C">
        <w:rPr>
          <w:rtl/>
        </w:rPr>
        <w:t xml:space="preserve"> توانست وضعیت بدهی خانوارها را پایش کرده و بسته‌های حمایتی هدفمند طراحی کند</w:t>
      </w:r>
      <w:r w:rsidRPr="0050580C">
        <w:t xml:space="preserve"> (NCAER, 2022).</w:t>
      </w:r>
    </w:p>
    <w:p w14:paraId="16A80284" w14:textId="24EA3A0B" w:rsidR="00926A8B" w:rsidRPr="0050580C" w:rsidRDefault="00926A8B" w:rsidP="00AB0B9D">
      <w:pPr>
        <w:pStyle w:val="Heading2"/>
      </w:pPr>
      <w:r w:rsidRPr="0050580C">
        <w:rPr>
          <w:rtl/>
        </w:rPr>
        <w:t>افزایش شفافیت و مبارزه با پولشویی</w:t>
      </w:r>
    </w:p>
    <w:p w14:paraId="46754F0E" w14:textId="77777777" w:rsidR="00926A8B" w:rsidRPr="0050580C" w:rsidRDefault="00926A8B" w:rsidP="00E331BF">
      <w:r w:rsidRPr="0050580C">
        <w:rPr>
          <w:rtl/>
        </w:rPr>
        <w:lastRenderedPageBreak/>
        <w:t>تمرکز اطلاعات مالی، ابزاری کلیدی برای پیگیری جریان‌های مشکوک مالی و افزایش توان دولت در مقابله با فساد اقتصادی، فرار مالیاتی و تأمین مالی غیرقانونی محسوب می‌شود</w:t>
      </w:r>
      <w:r w:rsidRPr="0050580C">
        <w:t>.</w:t>
      </w:r>
    </w:p>
    <w:p w14:paraId="1D66A268" w14:textId="77777777" w:rsidR="00926A8B" w:rsidRPr="0050580C" w:rsidRDefault="00926A8B" w:rsidP="00E331BF">
      <w:r w:rsidRPr="0050580C">
        <w:rPr>
          <w:b/>
          <w:bCs/>
          <w:rtl/>
        </w:rPr>
        <w:t>تجربه برزیل</w:t>
      </w:r>
      <w:r w:rsidRPr="0050580C">
        <w:rPr>
          <w:b/>
          <w:bCs/>
        </w:rPr>
        <w:t>:</w:t>
      </w:r>
      <w:r w:rsidRPr="0050580C">
        <w:t xml:space="preserve"> </w:t>
      </w:r>
      <w:r w:rsidRPr="0050580C">
        <w:rPr>
          <w:rtl/>
        </w:rPr>
        <w:t>اتصال بانک‌ها، نهادهای مالی و اطلاعات مالیاتی به پایگاه اعتباری مرکزی، موجب شناسایی الگوهای مشکوک در تسهیلات بانکی و جلوگیری از بحران نقدینگی شد</w:t>
      </w:r>
      <w:r w:rsidRPr="0050580C">
        <w:t xml:space="preserve"> (IMF, 2018).</w:t>
      </w:r>
    </w:p>
    <w:p w14:paraId="05712CDA" w14:textId="77777777" w:rsidR="00926A8B" w:rsidRPr="0050580C" w:rsidRDefault="00F14898" w:rsidP="00E331BF">
      <w:r>
        <w:pict w14:anchorId="0CDEF4A4">
          <v:rect id="_x0000_i1027" style="width:0;height:1.5pt" o:hralign="right" o:hrstd="t" o:hr="t" fillcolor="#a0a0a0" stroked="f"/>
        </w:pict>
      </w:r>
    </w:p>
    <w:p w14:paraId="61D25C18" w14:textId="2A9FA818" w:rsidR="00926A8B" w:rsidRPr="0050580C" w:rsidRDefault="00926A8B" w:rsidP="00AB0B9D">
      <w:pPr>
        <w:pStyle w:val="Heading2"/>
      </w:pPr>
      <w:r w:rsidRPr="0050580C">
        <w:rPr>
          <w:rtl/>
        </w:rPr>
        <w:t>شروط موفقیت پایگاه داده ملی</w:t>
      </w:r>
    </w:p>
    <w:p w14:paraId="5E23E7B3" w14:textId="77777777" w:rsidR="00926A8B" w:rsidRPr="0050580C" w:rsidRDefault="00926A8B" w:rsidP="00E331BF">
      <w:r w:rsidRPr="0050580C">
        <w:rPr>
          <w:rtl/>
        </w:rPr>
        <w:t>برای کارآمدی این نظام اطلاعاتی، لازم است اصولی همچون حاکمیت داده، استقلال نهادی، امنیت اطلاعات، و قوانین مشخص حفاظت از حریم خصوصی رعایت گردد. همچنین حضور فعال همه ذی‌نفعان از جمله بانک‌ها، بیمه‌ها، شرکت‌های فناوری مالی و نهادهای دولتی، لازمه موفقیت آن است</w:t>
      </w:r>
      <w:r w:rsidRPr="0050580C">
        <w:t xml:space="preserve"> (World Bank, 2011).</w:t>
      </w:r>
    </w:p>
    <w:p w14:paraId="227C95D8" w14:textId="77777777" w:rsidR="00926A8B" w:rsidRPr="0050580C" w:rsidRDefault="00F14898" w:rsidP="00E331BF">
      <w:r>
        <w:pict w14:anchorId="605BF6AB">
          <v:rect id="_x0000_i1028" style="width:0;height:1.5pt" o:hralign="right" o:hrstd="t" o:hr="t" fillcolor="#a0a0a0" stroked="f"/>
        </w:pict>
      </w:r>
    </w:p>
    <w:p w14:paraId="208D54D0" w14:textId="3EA15E83" w:rsidR="00926A8B" w:rsidRPr="0050580C" w:rsidRDefault="00926A8B" w:rsidP="00AB0B9D">
      <w:pPr>
        <w:pStyle w:val="Heading2"/>
      </w:pPr>
      <w:r w:rsidRPr="0050580C">
        <w:rPr>
          <w:rtl/>
        </w:rPr>
        <w:t>جمع‌بندی و توصیه سیاستی</w:t>
      </w:r>
    </w:p>
    <w:p w14:paraId="68FB8521" w14:textId="77777777" w:rsidR="00926A8B" w:rsidRPr="0050580C" w:rsidRDefault="00926A8B" w:rsidP="00E331BF">
      <w:r w:rsidRPr="0050580C">
        <w:rPr>
          <w:rtl/>
        </w:rPr>
        <w:t>ایجاد پایگاه داده ملی مالی و اعتباری، نه‌تنها یک ابزار فناورانه، بلکه زیرساختی بنیادین برای توسعه پایدار مالی کشور است. این سیستم اگر با طراحی نهادی شفاف، مشارکت همه‌جانبه و رعایت موازین حقوقی و فنی راه‌اندازی شود، می‌تواند مسیر کشور را به سوی شمول مالی گسترده، بازار اعتباری سالم و حکمرانی اقتصادی هوشمند هموار سازد. در عین حال، با در نظر گرفتن ماهیت انحصار طبیعی این بازار، وجود نهادهای ناظر مستقل و ضوابط رقابتی متناسب با واقعیت‌های ساختاری آن، ضرورتی انکارناپذیر خواهد بود</w:t>
      </w:r>
      <w:r w:rsidRPr="0050580C">
        <w:t>.</w:t>
      </w:r>
    </w:p>
    <w:p w14:paraId="142F2D77" w14:textId="77777777" w:rsidR="00926A8B" w:rsidRPr="0050580C" w:rsidRDefault="00F14898" w:rsidP="00E331BF">
      <w:r>
        <w:pict w14:anchorId="4312D5B6">
          <v:rect id="_x0000_i1029" style="width:0;height:1.5pt" o:hralign="right" o:hrstd="t" o:hr="t" fillcolor="#a0a0a0" stroked="f"/>
        </w:pict>
      </w:r>
    </w:p>
    <w:p w14:paraId="70EFE5F9" w14:textId="77777777" w:rsidR="00926A8B" w:rsidRPr="00D61917" w:rsidRDefault="00926A8B" w:rsidP="00E331BF">
      <w:pPr>
        <w:rPr>
          <w:b/>
          <w:bCs/>
        </w:rPr>
      </w:pPr>
      <w:r w:rsidRPr="00D61917">
        <w:rPr>
          <w:b/>
          <w:bCs/>
          <w:rtl/>
        </w:rPr>
        <w:t>منابع</w:t>
      </w:r>
      <w:r w:rsidRPr="00D61917">
        <w:rPr>
          <w:b/>
          <w:bCs/>
        </w:rPr>
        <w:t>:</w:t>
      </w:r>
    </w:p>
    <w:p w14:paraId="3E56870E" w14:textId="77777777" w:rsidR="00926A8B" w:rsidRPr="0050580C" w:rsidRDefault="00926A8B" w:rsidP="00E331BF">
      <w:pPr>
        <w:pStyle w:val="ListParagraph"/>
        <w:numPr>
          <w:ilvl w:val="0"/>
          <w:numId w:val="4"/>
        </w:numPr>
      </w:pPr>
      <w:r w:rsidRPr="0050580C">
        <w:t>World Bank (2020). Credit Reporting Knowledge Guide.</w:t>
      </w:r>
    </w:p>
    <w:p w14:paraId="1887F8D5" w14:textId="77777777" w:rsidR="00926A8B" w:rsidRPr="0050580C" w:rsidRDefault="00926A8B" w:rsidP="00E331BF">
      <w:pPr>
        <w:pStyle w:val="ListParagraph"/>
        <w:numPr>
          <w:ilvl w:val="0"/>
          <w:numId w:val="4"/>
        </w:numPr>
      </w:pPr>
      <w:r w:rsidRPr="0050580C">
        <w:t>World Bank (2024). Fintech and Financial Inclusion.</w:t>
      </w:r>
    </w:p>
    <w:p w14:paraId="3361C791" w14:textId="77777777" w:rsidR="00926A8B" w:rsidRPr="0050580C" w:rsidRDefault="00926A8B" w:rsidP="00E331BF">
      <w:pPr>
        <w:pStyle w:val="ListParagraph"/>
        <w:numPr>
          <w:ilvl w:val="0"/>
          <w:numId w:val="4"/>
        </w:numPr>
      </w:pPr>
      <w:r w:rsidRPr="0050580C">
        <w:t>IMF (2018a). Financial Access Survey: Bosnia and Herzegovina.</w:t>
      </w:r>
    </w:p>
    <w:p w14:paraId="4931C464" w14:textId="77777777" w:rsidR="00926A8B" w:rsidRPr="0050580C" w:rsidRDefault="00926A8B" w:rsidP="00E331BF">
      <w:pPr>
        <w:pStyle w:val="ListParagraph"/>
        <w:numPr>
          <w:ilvl w:val="0"/>
          <w:numId w:val="4"/>
        </w:numPr>
      </w:pPr>
      <w:r w:rsidRPr="0050580C">
        <w:t>IFC (2017). Credit Bureau Tanzania Case Study.</w:t>
      </w:r>
    </w:p>
    <w:p w14:paraId="15480B72" w14:textId="77777777" w:rsidR="00926A8B" w:rsidRPr="0050580C" w:rsidRDefault="00926A8B" w:rsidP="00E331BF">
      <w:pPr>
        <w:pStyle w:val="ListParagraph"/>
        <w:numPr>
          <w:ilvl w:val="0"/>
          <w:numId w:val="4"/>
        </w:numPr>
      </w:pPr>
      <w:r w:rsidRPr="0050580C">
        <w:t>ALRC (2008). Australian Law Reform Commission Report.</w:t>
      </w:r>
    </w:p>
    <w:p w14:paraId="07EBC319" w14:textId="77777777" w:rsidR="00926A8B" w:rsidRPr="0050580C" w:rsidRDefault="00926A8B" w:rsidP="00E331BF">
      <w:pPr>
        <w:pStyle w:val="ListParagraph"/>
        <w:numPr>
          <w:ilvl w:val="0"/>
          <w:numId w:val="4"/>
        </w:numPr>
      </w:pPr>
      <w:r w:rsidRPr="0050580C">
        <w:t>NCAER (2022). Impact of COVID-19 on Household Credit in India.</w:t>
      </w:r>
    </w:p>
    <w:p w14:paraId="7AA84FC6" w14:textId="77777777" w:rsidR="00926A8B" w:rsidRPr="0050580C" w:rsidRDefault="00926A8B" w:rsidP="00E331BF">
      <w:pPr>
        <w:pStyle w:val="ListParagraph"/>
        <w:numPr>
          <w:ilvl w:val="0"/>
          <w:numId w:val="4"/>
        </w:numPr>
      </w:pPr>
      <w:r w:rsidRPr="0050580C">
        <w:t>IMF (2018). Brazil: Financial Sector Assessment Program.</w:t>
      </w:r>
    </w:p>
    <w:p w14:paraId="260959E4" w14:textId="77777777" w:rsidR="00926A8B" w:rsidRPr="0050580C" w:rsidRDefault="00926A8B" w:rsidP="00E331BF">
      <w:pPr>
        <w:pStyle w:val="ListParagraph"/>
        <w:numPr>
          <w:ilvl w:val="0"/>
          <w:numId w:val="4"/>
        </w:numPr>
      </w:pPr>
      <w:r w:rsidRPr="0050580C">
        <w:t>World Bank (2011). General Principles for Credit Reporting Systems.</w:t>
      </w:r>
    </w:p>
    <w:p w14:paraId="4FCA3627" w14:textId="77777777" w:rsidR="00926A8B" w:rsidRPr="0050580C" w:rsidRDefault="00F14898" w:rsidP="00E331BF">
      <w:r>
        <w:pict w14:anchorId="449D8DEB">
          <v:rect id="_x0000_i1030" style="width:0;height:1.5pt" o:hralign="right" o:hrstd="t" o:hr="t" fillcolor="#a0a0a0" stroked="f"/>
        </w:pict>
      </w:r>
    </w:p>
    <w:p w14:paraId="27AB2F5A" w14:textId="77777777" w:rsidR="00BE436D" w:rsidRPr="00926A8B" w:rsidRDefault="00BE436D" w:rsidP="00E331BF"/>
    <w:sectPr w:rsidR="00BE436D" w:rsidRPr="00926A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 Zar">
    <w:panose1 w:val="00000400000000000000"/>
    <w:charset w:val="B2"/>
    <w:family w:val="auto"/>
    <w:pitch w:val="variable"/>
    <w:sig w:usb0="00002001" w:usb1="80000000" w:usb2="00000008" w:usb3="00000000" w:csb0="0000004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441EF"/>
    <w:multiLevelType w:val="multilevel"/>
    <w:tmpl w:val="7840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6F528F"/>
    <w:multiLevelType w:val="multilevel"/>
    <w:tmpl w:val="124C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625FA"/>
    <w:multiLevelType w:val="multilevel"/>
    <w:tmpl w:val="615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9E33F1"/>
    <w:multiLevelType w:val="multilevel"/>
    <w:tmpl w:val="94A6433C"/>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6CC04989"/>
    <w:multiLevelType w:val="multilevel"/>
    <w:tmpl w:val="84CC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0375270">
    <w:abstractNumId w:val="0"/>
  </w:num>
  <w:num w:numId="2" w16cid:durableId="2007633441">
    <w:abstractNumId w:val="1"/>
  </w:num>
  <w:num w:numId="3" w16cid:durableId="1147286253">
    <w:abstractNumId w:val="4"/>
  </w:num>
  <w:num w:numId="4" w16cid:durableId="1529754480">
    <w:abstractNumId w:val="2"/>
  </w:num>
  <w:num w:numId="5" w16cid:durableId="2101488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76"/>
    <w:rsid w:val="000D3366"/>
    <w:rsid w:val="001A234C"/>
    <w:rsid w:val="0020174C"/>
    <w:rsid w:val="00355903"/>
    <w:rsid w:val="00367186"/>
    <w:rsid w:val="00410301"/>
    <w:rsid w:val="0042431A"/>
    <w:rsid w:val="004735F4"/>
    <w:rsid w:val="004C0976"/>
    <w:rsid w:val="0055740B"/>
    <w:rsid w:val="00576DBE"/>
    <w:rsid w:val="005C3D19"/>
    <w:rsid w:val="00611003"/>
    <w:rsid w:val="007D496D"/>
    <w:rsid w:val="00834E87"/>
    <w:rsid w:val="00845177"/>
    <w:rsid w:val="00896724"/>
    <w:rsid w:val="00926A8B"/>
    <w:rsid w:val="0093601A"/>
    <w:rsid w:val="00993ACD"/>
    <w:rsid w:val="00AB0B9D"/>
    <w:rsid w:val="00AE047C"/>
    <w:rsid w:val="00BE436D"/>
    <w:rsid w:val="00C53A39"/>
    <w:rsid w:val="00CA5C05"/>
    <w:rsid w:val="00D14183"/>
    <w:rsid w:val="00D61917"/>
    <w:rsid w:val="00E1148D"/>
    <w:rsid w:val="00E331BF"/>
    <w:rsid w:val="00E6673F"/>
    <w:rsid w:val="00F148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A022FB0"/>
  <w15:chartTrackingRefBased/>
  <w15:docId w15:val="{7DA842D8-9B98-45FC-AA38-4BAF55AD1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B Zar"/>
        <w:kern w:val="2"/>
        <w:sz w:val="22"/>
        <w:szCs w:val="26"/>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1BF"/>
    <w:pPr>
      <w:jc w:val="both"/>
    </w:pPr>
    <w:rPr>
      <w:rFonts w:ascii="Times New Roman" w:hAnsi="Times New Roman"/>
    </w:rPr>
  </w:style>
  <w:style w:type="paragraph" w:styleId="Heading1">
    <w:name w:val="heading 1"/>
    <w:basedOn w:val="Normal"/>
    <w:next w:val="Normal"/>
    <w:link w:val="Heading1Char"/>
    <w:uiPriority w:val="9"/>
    <w:qFormat/>
    <w:rsid w:val="00AB0B9D"/>
    <w:pPr>
      <w:numPr>
        <w:numId w:val="5"/>
      </w:numPr>
      <w:outlineLvl w:val="0"/>
    </w:pPr>
    <w:rPr>
      <w:b/>
      <w:bCs/>
    </w:rPr>
  </w:style>
  <w:style w:type="paragraph" w:styleId="Heading2">
    <w:name w:val="heading 2"/>
    <w:basedOn w:val="Heading1"/>
    <w:next w:val="Normal"/>
    <w:link w:val="Heading2Char"/>
    <w:uiPriority w:val="9"/>
    <w:unhideWhenUsed/>
    <w:qFormat/>
    <w:rsid w:val="005C3D19"/>
    <w:pPr>
      <w:numPr>
        <w:ilvl w:val="1"/>
      </w:numPr>
      <w:ind w:left="601" w:hanging="431"/>
      <w:outlineLvl w:val="1"/>
    </w:pPr>
  </w:style>
  <w:style w:type="paragraph" w:styleId="Heading3">
    <w:name w:val="heading 3"/>
    <w:basedOn w:val="Normal"/>
    <w:next w:val="Normal"/>
    <w:link w:val="Heading3Char"/>
    <w:uiPriority w:val="9"/>
    <w:semiHidden/>
    <w:unhideWhenUsed/>
    <w:qFormat/>
    <w:rsid w:val="004C097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97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C097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C09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09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09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09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B9D"/>
    <w:rPr>
      <w:rFonts w:ascii="Times New Roman" w:hAnsi="Times New Roman"/>
      <w:b/>
      <w:bCs/>
    </w:rPr>
  </w:style>
  <w:style w:type="character" w:customStyle="1" w:styleId="Heading2Char">
    <w:name w:val="Heading 2 Char"/>
    <w:basedOn w:val="DefaultParagraphFont"/>
    <w:link w:val="Heading2"/>
    <w:uiPriority w:val="9"/>
    <w:rsid w:val="005C3D19"/>
    <w:rPr>
      <w:rFonts w:ascii="Times New Roman" w:hAnsi="Times New Roman"/>
      <w:b/>
      <w:bCs/>
    </w:rPr>
  </w:style>
  <w:style w:type="character" w:customStyle="1" w:styleId="Heading3Char">
    <w:name w:val="Heading 3 Char"/>
    <w:basedOn w:val="DefaultParagraphFont"/>
    <w:link w:val="Heading3"/>
    <w:uiPriority w:val="9"/>
    <w:semiHidden/>
    <w:rsid w:val="004C09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9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9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76"/>
    <w:rPr>
      <w:rFonts w:eastAsiaTheme="majorEastAsia" w:cstheme="majorBidi"/>
      <w:color w:val="272727" w:themeColor="text1" w:themeTint="D8"/>
    </w:rPr>
  </w:style>
  <w:style w:type="paragraph" w:styleId="Title">
    <w:name w:val="Title"/>
    <w:basedOn w:val="Normal"/>
    <w:next w:val="Normal"/>
    <w:link w:val="TitleChar"/>
    <w:uiPriority w:val="10"/>
    <w:qFormat/>
    <w:rsid w:val="005C3D19"/>
    <w:pPr>
      <w:shd w:val="clear" w:color="auto" w:fill="F2F2F2" w:themeFill="background1" w:themeFillShade="F2"/>
      <w:spacing w:after="80" w:line="240" w:lineRule="auto"/>
      <w:contextualSpacing/>
      <w:jc w:val="center"/>
    </w:pPr>
    <w:rPr>
      <w:rFonts w:asciiTheme="majorHAnsi" w:eastAsiaTheme="majorEastAsia" w:hAnsiTheme="majorHAnsi"/>
      <w:b/>
      <w:bCs/>
      <w:spacing w:val="-10"/>
      <w:kern w:val="28"/>
      <w:sz w:val="26"/>
    </w:rPr>
  </w:style>
  <w:style w:type="character" w:customStyle="1" w:styleId="TitleChar">
    <w:name w:val="Title Char"/>
    <w:basedOn w:val="DefaultParagraphFont"/>
    <w:link w:val="Title"/>
    <w:uiPriority w:val="10"/>
    <w:rsid w:val="005C3D19"/>
    <w:rPr>
      <w:rFonts w:asciiTheme="majorHAnsi" w:eastAsiaTheme="majorEastAsia" w:hAnsiTheme="majorHAnsi"/>
      <w:b/>
      <w:bCs/>
      <w:spacing w:val="-10"/>
      <w:kern w:val="28"/>
      <w:sz w:val="26"/>
      <w:shd w:val="clear" w:color="auto" w:fill="F2F2F2" w:themeFill="background1" w:themeFillShade="F2"/>
    </w:rPr>
  </w:style>
  <w:style w:type="paragraph" w:styleId="Subtitle">
    <w:name w:val="Subtitle"/>
    <w:basedOn w:val="Normal"/>
    <w:next w:val="Normal"/>
    <w:link w:val="SubtitleChar"/>
    <w:uiPriority w:val="11"/>
    <w:qFormat/>
    <w:rsid w:val="004C097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76"/>
    <w:pPr>
      <w:spacing w:before="160"/>
      <w:jc w:val="center"/>
    </w:pPr>
    <w:rPr>
      <w:i/>
      <w:iCs/>
      <w:color w:val="404040" w:themeColor="text1" w:themeTint="BF"/>
    </w:rPr>
  </w:style>
  <w:style w:type="character" w:customStyle="1" w:styleId="QuoteChar">
    <w:name w:val="Quote Char"/>
    <w:basedOn w:val="DefaultParagraphFont"/>
    <w:link w:val="Quote"/>
    <w:uiPriority w:val="29"/>
    <w:rsid w:val="004C0976"/>
    <w:rPr>
      <w:rFonts w:ascii="Times New Roman" w:hAnsi="Times New Roman"/>
      <w:i/>
      <w:iCs/>
      <w:color w:val="404040" w:themeColor="text1" w:themeTint="BF"/>
    </w:rPr>
  </w:style>
  <w:style w:type="paragraph" w:styleId="ListParagraph">
    <w:name w:val="List Paragraph"/>
    <w:basedOn w:val="Normal"/>
    <w:uiPriority w:val="34"/>
    <w:qFormat/>
    <w:rsid w:val="004C0976"/>
    <w:pPr>
      <w:ind w:left="720"/>
      <w:contextualSpacing/>
    </w:pPr>
  </w:style>
  <w:style w:type="character" w:styleId="IntenseEmphasis">
    <w:name w:val="Intense Emphasis"/>
    <w:basedOn w:val="DefaultParagraphFont"/>
    <w:uiPriority w:val="21"/>
    <w:qFormat/>
    <w:rsid w:val="004C0976"/>
    <w:rPr>
      <w:i/>
      <w:iCs/>
      <w:color w:val="0F4761" w:themeColor="accent1" w:themeShade="BF"/>
    </w:rPr>
  </w:style>
  <w:style w:type="paragraph" w:styleId="IntenseQuote">
    <w:name w:val="Intense Quote"/>
    <w:basedOn w:val="Normal"/>
    <w:next w:val="Normal"/>
    <w:link w:val="IntenseQuoteChar"/>
    <w:uiPriority w:val="30"/>
    <w:qFormat/>
    <w:rsid w:val="004C0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976"/>
    <w:rPr>
      <w:rFonts w:ascii="Times New Roman" w:hAnsi="Times New Roman"/>
      <w:i/>
      <w:iCs/>
      <w:color w:val="0F4761" w:themeColor="accent1" w:themeShade="BF"/>
    </w:rPr>
  </w:style>
  <w:style w:type="character" w:styleId="IntenseReference">
    <w:name w:val="Intense Reference"/>
    <w:basedOn w:val="DefaultParagraphFont"/>
    <w:uiPriority w:val="32"/>
    <w:qFormat/>
    <w:rsid w:val="004C0976"/>
    <w:rPr>
      <w:b/>
      <w:bCs/>
      <w:smallCaps/>
      <w:color w:val="0F4761" w:themeColor="accent1" w:themeShade="BF"/>
      <w:spacing w:val="5"/>
    </w:rPr>
  </w:style>
  <w:style w:type="character" w:styleId="Hyperlink">
    <w:name w:val="Hyperlink"/>
    <w:basedOn w:val="DefaultParagraphFont"/>
    <w:uiPriority w:val="99"/>
    <w:unhideWhenUsed/>
    <w:rsid w:val="004C0976"/>
    <w:rPr>
      <w:color w:val="467886" w:themeColor="hyperlink"/>
      <w:u w:val="single"/>
    </w:rPr>
  </w:style>
  <w:style w:type="character" w:styleId="UnresolvedMention">
    <w:name w:val="Unresolved Mention"/>
    <w:basedOn w:val="DefaultParagraphFont"/>
    <w:uiPriority w:val="99"/>
    <w:semiHidden/>
    <w:unhideWhenUsed/>
    <w:rsid w:val="004C09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22385">
      <w:bodyDiv w:val="1"/>
      <w:marLeft w:val="0"/>
      <w:marRight w:val="0"/>
      <w:marTop w:val="0"/>
      <w:marBottom w:val="0"/>
      <w:divBdr>
        <w:top w:val="none" w:sz="0" w:space="0" w:color="auto"/>
        <w:left w:val="none" w:sz="0" w:space="0" w:color="auto"/>
        <w:bottom w:val="none" w:sz="0" w:space="0" w:color="auto"/>
        <w:right w:val="none" w:sz="0" w:space="0" w:color="auto"/>
      </w:divBdr>
    </w:div>
    <w:div w:id="417021614">
      <w:bodyDiv w:val="1"/>
      <w:marLeft w:val="0"/>
      <w:marRight w:val="0"/>
      <w:marTop w:val="0"/>
      <w:marBottom w:val="0"/>
      <w:divBdr>
        <w:top w:val="none" w:sz="0" w:space="0" w:color="auto"/>
        <w:left w:val="none" w:sz="0" w:space="0" w:color="auto"/>
        <w:bottom w:val="none" w:sz="0" w:space="0" w:color="auto"/>
        <w:right w:val="none" w:sz="0" w:space="0" w:color="auto"/>
      </w:divBdr>
    </w:div>
    <w:div w:id="418870031">
      <w:bodyDiv w:val="1"/>
      <w:marLeft w:val="0"/>
      <w:marRight w:val="0"/>
      <w:marTop w:val="0"/>
      <w:marBottom w:val="0"/>
      <w:divBdr>
        <w:top w:val="none" w:sz="0" w:space="0" w:color="auto"/>
        <w:left w:val="none" w:sz="0" w:space="0" w:color="auto"/>
        <w:bottom w:val="none" w:sz="0" w:space="0" w:color="auto"/>
        <w:right w:val="none" w:sz="0" w:space="0" w:color="auto"/>
      </w:divBdr>
    </w:div>
    <w:div w:id="975185681">
      <w:bodyDiv w:val="1"/>
      <w:marLeft w:val="0"/>
      <w:marRight w:val="0"/>
      <w:marTop w:val="0"/>
      <w:marBottom w:val="0"/>
      <w:divBdr>
        <w:top w:val="none" w:sz="0" w:space="0" w:color="auto"/>
        <w:left w:val="none" w:sz="0" w:space="0" w:color="auto"/>
        <w:bottom w:val="none" w:sz="0" w:space="0" w:color="auto"/>
        <w:right w:val="none" w:sz="0" w:space="0" w:color="auto"/>
      </w:divBdr>
    </w:div>
    <w:div w:id="982545032">
      <w:bodyDiv w:val="1"/>
      <w:marLeft w:val="0"/>
      <w:marRight w:val="0"/>
      <w:marTop w:val="0"/>
      <w:marBottom w:val="0"/>
      <w:divBdr>
        <w:top w:val="none" w:sz="0" w:space="0" w:color="auto"/>
        <w:left w:val="none" w:sz="0" w:space="0" w:color="auto"/>
        <w:bottom w:val="none" w:sz="0" w:space="0" w:color="auto"/>
        <w:right w:val="none" w:sz="0" w:space="0" w:color="auto"/>
      </w:divBdr>
    </w:div>
    <w:div w:id="1003705003">
      <w:bodyDiv w:val="1"/>
      <w:marLeft w:val="0"/>
      <w:marRight w:val="0"/>
      <w:marTop w:val="0"/>
      <w:marBottom w:val="0"/>
      <w:divBdr>
        <w:top w:val="none" w:sz="0" w:space="0" w:color="auto"/>
        <w:left w:val="none" w:sz="0" w:space="0" w:color="auto"/>
        <w:bottom w:val="none" w:sz="0" w:space="0" w:color="auto"/>
        <w:right w:val="none" w:sz="0" w:space="0" w:color="auto"/>
      </w:divBdr>
    </w:div>
    <w:div w:id="1177505362">
      <w:bodyDiv w:val="1"/>
      <w:marLeft w:val="0"/>
      <w:marRight w:val="0"/>
      <w:marTop w:val="0"/>
      <w:marBottom w:val="0"/>
      <w:divBdr>
        <w:top w:val="none" w:sz="0" w:space="0" w:color="auto"/>
        <w:left w:val="none" w:sz="0" w:space="0" w:color="auto"/>
        <w:bottom w:val="none" w:sz="0" w:space="0" w:color="auto"/>
        <w:right w:val="none" w:sz="0" w:space="0" w:color="auto"/>
      </w:divBdr>
    </w:div>
    <w:div w:id="1207528699">
      <w:bodyDiv w:val="1"/>
      <w:marLeft w:val="0"/>
      <w:marRight w:val="0"/>
      <w:marTop w:val="0"/>
      <w:marBottom w:val="0"/>
      <w:divBdr>
        <w:top w:val="none" w:sz="0" w:space="0" w:color="auto"/>
        <w:left w:val="none" w:sz="0" w:space="0" w:color="auto"/>
        <w:bottom w:val="none" w:sz="0" w:space="0" w:color="auto"/>
        <w:right w:val="none" w:sz="0" w:space="0" w:color="auto"/>
      </w:divBdr>
    </w:div>
    <w:div w:id="1298024364">
      <w:bodyDiv w:val="1"/>
      <w:marLeft w:val="0"/>
      <w:marRight w:val="0"/>
      <w:marTop w:val="0"/>
      <w:marBottom w:val="0"/>
      <w:divBdr>
        <w:top w:val="none" w:sz="0" w:space="0" w:color="auto"/>
        <w:left w:val="none" w:sz="0" w:space="0" w:color="auto"/>
        <w:bottom w:val="none" w:sz="0" w:space="0" w:color="auto"/>
        <w:right w:val="none" w:sz="0" w:space="0" w:color="auto"/>
      </w:divBdr>
    </w:div>
    <w:div w:id="1498689670">
      <w:bodyDiv w:val="1"/>
      <w:marLeft w:val="0"/>
      <w:marRight w:val="0"/>
      <w:marTop w:val="0"/>
      <w:marBottom w:val="0"/>
      <w:divBdr>
        <w:top w:val="none" w:sz="0" w:space="0" w:color="auto"/>
        <w:left w:val="none" w:sz="0" w:space="0" w:color="auto"/>
        <w:bottom w:val="none" w:sz="0" w:space="0" w:color="auto"/>
        <w:right w:val="none" w:sz="0" w:space="0" w:color="auto"/>
      </w:divBdr>
    </w:div>
    <w:div w:id="1533112870">
      <w:bodyDiv w:val="1"/>
      <w:marLeft w:val="0"/>
      <w:marRight w:val="0"/>
      <w:marTop w:val="0"/>
      <w:marBottom w:val="0"/>
      <w:divBdr>
        <w:top w:val="none" w:sz="0" w:space="0" w:color="auto"/>
        <w:left w:val="none" w:sz="0" w:space="0" w:color="auto"/>
        <w:bottom w:val="none" w:sz="0" w:space="0" w:color="auto"/>
        <w:right w:val="none" w:sz="0" w:space="0" w:color="auto"/>
      </w:divBdr>
    </w:div>
    <w:div w:id="1712799375">
      <w:bodyDiv w:val="1"/>
      <w:marLeft w:val="0"/>
      <w:marRight w:val="0"/>
      <w:marTop w:val="0"/>
      <w:marBottom w:val="0"/>
      <w:divBdr>
        <w:top w:val="none" w:sz="0" w:space="0" w:color="auto"/>
        <w:left w:val="none" w:sz="0" w:space="0" w:color="auto"/>
        <w:bottom w:val="none" w:sz="0" w:space="0" w:color="auto"/>
        <w:right w:val="none" w:sz="0" w:space="0" w:color="auto"/>
      </w:divBdr>
    </w:div>
    <w:div w:id="1736200458">
      <w:bodyDiv w:val="1"/>
      <w:marLeft w:val="0"/>
      <w:marRight w:val="0"/>
      <w:marTop w:val="0"/>
      <w:marBottom w:val="0"/>
      <w:divBdr>
        <w:top w:val="none" w:sz="0" w:space="0" w:color="auto"/>
        <w:left w:val="none" w:sz="0" w:space="0" w:color="auto"/>
        <w:bottom w:val="none" w:sz="0" w:space="0" w:color="auto"/>
        <w:right w:val="none" w:sz="0" w:space="0" w:color="auto"/>
      </w:divBdr>
    </w:div>
    <w:div w:id="1790853370">
      <w:bodyDiv w:val="1"/>
      <w:marLeft w:val="0"/>
      <w:marRight w:val="0"/>
      <w:marTop w:val="0"/>
      <w:marBottom w:val="0"/>
      <w:divBdr>
        <w:top w:val="none" w:sz="0" w:space="0" w:color="auto"/>
        <w:left w:val="none" w:sz="0" w:space="0" w:color="auto"/>
        <w:bottom w:val="none" w:sz="0" w:space="0" w:color="auto"/>
        <w:right w:val="none" w:sz="0" w:space="0" w:color="auto"/>
      </w:divBdr>
    </w:div>
    <w:div w:id="1819346683">
      <w:bodyDiv w:val="1"/>
      <w:marLeft w:val="0"/>
      <w:marRight w:val="0"/>
      <w:marTop w:val="0"/>
      <w:marBottom w:val="0"/>
      <w:divBdr>
        <w:top w:val="none" w:sz="0" w:space="0" w:color="auto"/>
        <w:left w:val="none" w:sz="0" w:space="0" w:color="auto"/>
        <w:bottom w:val="none" w:sz="0" w:space="0" w:color="auto"/>
        <w:right w:val="none" w:sz="0" w:space="0" w:color="auto"/>
      </w:divBdr>
    </w:div>
    <w:div w:id="1958952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F79D19-F959-4A53-8C25-7965FEB4E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1093</Words>
  <Characters>6235</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Hanieh Mohammad Ali</dc:creator>
  <cp:keywords/>
  <dc:description/>
  <cp:lastModifiedBy>Mostafa Nazzari</cp:lastModifiedBy>
  <cp:revision>2</cp:revision>
  <dcterms:created xsi:type="dcterms:W3CDTF">2025-07-20T13:28:00Z</dcterms:created>
  <dcterms:modified xsi:type="dcterms:W3CDTF">2025-07-20T13:28:00Z</dcterms:modified>
</cp:coreProperties>
</file>