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60" w:before="200"/>
        <w:jc w:val="center"/>
      </w:pPr>
      <w:r>
        <w:rPr>
          <w:rFonts w:ascii="Calibri" w:cs="Calibri" w:eastAsia="Calibri" w:hAnsi="Calibri"/>
          <w:b/>
          <w:bCs/>
          <w:color w:val="4A0072"/>
          <w:sz w:val="46"/>
          <w:szCs w:val="46"/>
          <w:rtl w:val="false"/>
        </w:rPr>
        <w:t xml:space="preserve">École numérique des filles d'Afghanistan</w:t>
      </w:r>
    </w:p>
    <w:p>
      <w:pPr>
        <w:bidi w:val="false"/>
        <w:spacing w:after="200"/>
        <w:jc w:val="center"/>
      </w:pPr>
      <w:r>
        <w:rPr>
          <w:rFonts w:ascii="Calibri" w:cs="Calibri" w:eastAsia="Calibri" w:hAnsi="Calibri"/>
          <w:color w:val="6A1B9A"/>
          <w:sz w:val="28"/>
          <w:szCs w:val="28"/>
          <w:rtl w:val="false"/>
        </w:rPr>
        <w:t xml:space="preserve">Présentation complète de la plateforme — une école numérique entière dans la poche de chaque fille afghane</w:t>
      </w:r>
    </w:p>
    <w:p>
      <w:pPr>
        <w:pBdr>
          <w:bottom w:val="single" w:color="6A1B9A" w:sz="10" w:space="8"/>
        </w:pBdr>
        <w:bidi w:val="false"/>
        <w:spacing w:after="360"/>
        <w:jc w:val="center"/>
      </w:pPr>
      <w:r>
        <w:rPr>
          <w:rFonts w:ascii="Calibri" w:cs="Calibri" w:eastAsia="Calibri" w:hAnsi="Calibri"/>
          <w:i/>
          <w:iCs/>
          <w:color w:val="666666"/>
          <w:sz w:val="20"/>
          <w:szCs w:val="20"/>
          <w:rtl w:val="false"/>
        </w:rPr>
        <w:t xml:space="preserve">Édition de présentation — 23 juillet 2026</w:t>
      </w:r>
    </w:p>
    <w:p>
      <w:pPr>
        <w:pStyle w:val="Heading2"/>
        <w:pBdr>
          <w:bottom w:val="single" w:color="6A1B9A" w:sz="6" w:space="4"/>
        </w:pBdr>
        <w:bidi w:val="false"/>
        <w:spacing w:after="160" w:before="320"/>
        <w:jc w:val="left"/>
      </w:pPr>
      <w:r>
        <w:rPr>
          <w:rFonts w:ascii="Calibri" w:cs="Calibri" w:eastAsia="Calibri" w:hAnsi="Calibri"/>
          <w:b/>
          <w:bCs/>
          <w:color w:val="4A0072"/>
          <w:sz w:val="30"/>
          <w:szCs w:val="30"/>
          <w:rtl w:val="false"/>
        </w:rPr>
        <w:t xml:space="preserve">Vision</w:t>
      </w:r>
    </w:p>
    <w:p>
      <w:pPr>
        <w:bidi w:val="false"/>
        <w:spacing w:after="120" w:before="0"/>
        <w:jc w:val="left"/>
      </w:pPr>
      <w:r>
        <w:rPr>
          <w:rFonts w:ascii="Calibri" w:cs="Calibri" w:eastAsia="Calibri" w:hAnsi="Calibri"/>
          <w:b w:val="false"/>
          <w:bCs w:val="false"/>
          <w:i w:val="false"/>
          <w:iCs w:val="false"/>
          <w:color w:val="222222"/>
          <w:sz w:val="22"/>
          <w:szCs w:val="22"/>
          <w:rtl w:val="false"/>
        </w:rPr>
        <w:t xml:space="preserve">L'École numérique des filles d'Afghanistan est une plateforme d'éducation numérique complète, conçue pour garantir aux filles afghanes l'accès à une éducation de qualité, indépendamment des contraintes géographiques ou sociales. Ce n'est pas une simple application de consultation de contenu ; c'est un véritable écosystème éducatif qui réunit la progression scolaire, l'enseignement, l'évaluation, l'accompagnement, la communication avec les familles et la communauté des élèves au sein d'une expérience unique, sécurisée et moderne.</w:t>
      </w:r>
    </w:p>
    <w:p>
      <w:pPr>
        <w:pStyle w:val="Heading2"/>
        <w:pBdr>
          <w:bottom w:val="single" w:color="6A1B9A" w:sz="6" w:space="4"/>
        </w:pBdr>
        <w:bidi w:val="false"/>
        <w:spacing w:after="160" w:before="320"/>
        <w:jc w:val="left"/>
      </w:pPr>
      <w:r>
        <w:rPr>
          <w:rFonts w:ascii="Calibri" w:cs="Calibri" w:eastAsia="Calibri" w:hAnsi="Calibri"/>
          <w:b/>
          <w:bCs/>
          <w:color w:val="4A0072"/>
          <w:sz w:val="30"/>
          <w:szCs w:val="30"/>
          <w:rtl w:val="false"/>
        </w:rPr>
        <w:t xml:space="preserve">Pourquoi cette plateforme est moderne</w:t>
      </w:r>
    </w:p>
    <w:p>
      <w:pPr>
        <w:bidi w:val="false"/>
        <w:spacing w:after="120" w:before="0"/>
        <w:jc w:val="left"/>
      </w:pPr>
      <w:r>
        <w:rPr>
          <w:rFonts w:ascii="Calibri" w:cs="Calibri" w:eastAsia="Calibri" w:hAnsi="Calibri"/>
          <w:b w:val="false"/>
          <w:bCs w:val="false"/>
          <w:i w:val="false"/>
          <w:iCs w:val="false"/>
          <w:color w:val="222222"/>
          <w:sz w:val="22"/>
          <w:szCs w:val="22"/>
          <w:rtl w:val="false"/>
        </w:rPr>
        <w:t xml:space="preserve">La plateforme repose sur une architecture logicielle de pointe et une infrastructure cloud mondiale — bien au-delà d'une application éducative classique :</w:t>
      </w:r>
    </w:p>
    <w:p>
      <w:pPr>
        <w:pStyle w:val="ListParagraph"/>
        <w:numPr>
          <w:ilvl w:val="0"/>
          <w:numId w:val="2"/>
        </w:numPr>
        <w:bidi w:val="false"/>
        <w:spacing w:after="80"/>
        <w:jc w:val="left"/>
      </w:pPr>
      <w:r>
        <w:rPr>
          <w:rFonts w:ascii="Calibri" w:cs="Calibri" w:eastAsia="Calibri" w:hAnsi="Calibri"/>
          <w:b/>
          <w:bCs/>
          <w:color w:val="4A0072"/>
          <w:sz w:val="22"/>
          <w:szCs w:val="22"/>
          <w:rtl w:val="false"/>
        </w:rPr>
        <w:t xml:space="preserve">Infrastructure Edge mondiale : </w:t>
      </w:r>
      <w:r>
        <w:rPr>
          <w:rFonts w:ascii="Calibri" w:cs="Calibri" w:eastAsia="Calibri" w:hAnsi="Calibri"/>
          <w:color w:val="222222"/>
          <w:sz w:val="22"/>
          <w:szCs w:val="22"/>
          <w:rtl w:val="false"/>
        </w:rPr>
        <w:t xml:space="preserve">le backend fonctionne sur le réseau Cloudflare, présent dans des centaines de sites à travers le monde. Résultat : une latence de réponse de base de données inférieure à la milliseconde et des performances rapides même avec une connexion internet limitée.</w:t>
      </w:r>
    </w:p>
    <w:p>
      <w:pPr>
        <w:pStyle w:val="ListParagraph"/>
        <w:numPr>
          <w:ilvl w:val="0"/>
          <w:numId w:val="2"/>
        </w:numPr>
        <w:bidi w:val="false"/>
        <w:spacing w:after="80"/>
        <w:jc w:val="left"/>
      </w:pPr>
      <w:r>
        <w:rPr>
          <w:rFonts w:ascii="Calibri" w:cs="Calibri" w:eastAsia="Calibri" w:hAnsi="Calibri"/>
          <w:b/>
          <w:bCs/>
          <w:color w:val="4A0072"/>
          <w:sz w:val="22"/>
          <w:szCs w:val="22"/>
          <w:rtl w:val="false"/>
        </w:rPr>
        <w:t xml:space="preserve">Une IA réelle, pas un simple argument marketing : </w:t>
      </w:r>
      <w:r>
        <w:rPr>
          <w:rFonts w:ascii="Calibri" w:cs="Calibri" w:eastAsia="Calibri" w:hAnsi="Calibri"/>
          <w:color w:val="222222"/>
          <w:sz w:val="22"/>
          <w:szCs w:val="22"/>
          <w:rtl w:val="false"/>
        </w:rPr>
        <w:t xml:space="preserve">l'Enseignant IA utilise la génération augmentée par récupération (RAG) pour répondre directement à partir du contenu réel des manuels scolaires — des réponses fondées, non des suppositions.</w:t>
      </w:r>
    </w:p>
    <w:p>
      <w:pPr>
        <w:pStyle w:val="ListParagraph"/>
        <w:numPr>
          <w:ilvl w:val="0"/>
          <w:numId w:val="2"/>
        </w:numPr>
        <w:bidi w:val="false"/>
        <w:spacing w:after="80"/>
        <w:jc w:val="left"/>
      </w:pPr>
      <w:r>
        <w:rPr>
          <w:rFonts w:ascii="Calibri" w:cs="Calibri" w:eastAsia="Calibri" w:hAnsi="Calibri"/>
          <w:b/>
          <w:bCs/>
          <w:color w:val="4A0072"/>
          <w:sz w:val="22"/>
          <w:szCs w:val="22"/>
          <w:rtl w:val="false"/>
        </w:rPr>
        <w:t xml:space="preserve">Une voix naturelle en dari : </w:t>
      </w:r>
      <w:r>
        <w:rPr>
          <w:rFonts w:ascii="Calibri" w:cs="Calibri" w:eastAsia="Calibri" w:hAnsi="Calibri"/>
          <w:color w:val="222222"/>
          <w:sz w:val="22"/>
          <w:szCs w:val="22"/>
          <w:rtl w:val="false"/>
        </w:rPr>
        <w:t xml:space="preserve">l'Enseignant IA peut s'exprimer avec une voix féminine naturelle en dari et comprendre également la voix de l'élève (reconnaissance vocale).</w:t>
      </w:r>
    </w:p>
    <w:p>
      <w:pPr>
        <w:pStyle w:val="ListParagraph"/>
        <w:numPr>
          <w:ilvl w:val="0"/>
          <w:numId w:val="2"/>
        </w:numPr>
        <w:bidi w:val="false"/>
        <w:spacing w:after="80"/>
        <w:jc w:val="left"/>
      </w:pPr>
      <w:r>
        <w:rPr>
          <w:rFonts w:ascii="Calibri" w:cs="Calibri" w:eastAsia="Calibri" w:hAnsi="Calibri"/>
          <w:b/>
          <w:bCs/>
          <w:color w:val="4A0072"/>
          <w:sz w:val="22"/>
          <w:szCs w:val="22"/>
          <w:rtl w:val="false"/>
        </w:rPr>
        <w:t xml:space="preserve">Architecture professionnelle (Clean Architecture) : </w:t>
      </w:r>
      <w:r>
        <w:rPr>
          <w:rFonts w:ascii="Calibri" w:cs="Calibri" w:eastAsia="Calibri" w:hAnsi="Calibri"/>
          <w:color w:val="222222"/>
          <w:sz w:val="22"/>
          <w:szCs w:val="22"/>
          <w:rtl w:val="false"/>
        </w:rPr>
        <w:t xml:space="preserve">le code sépare intégralement la logique métier, les données et la présentation — une norme utilisée par les meilleures équipes d'ingénierie logicielle mondiales.</w:t>
      </w:r>
    </w:p>
    <w:p>
      <w:pPr>
        <w:pStyle w:val="ListParagraph"/>
        <w:numPr>
          <w:ilvl w:val="0"/>
          <w:numId w:val="2"/>
        </w:numPr>
        <w:bidi w:val="false"/>
        <w:spacing w:after="80"/>
        <w:jc w:val="left"/>
      </w:pPr>
      <w:r>
        <w:rPr>
          <w:rFonts w:ascii="Calibri" w:cs="Calibri" w:eastAsia="Calibri" w:hAnsi="Calibri"/>
          <w:b/>
          <w:bCs/>
          <w:color w:val="4A0072"/>
          <w:sz w:val="22"/>
          <w:szCs w:val="22"/>
          <w:rtl w:val="false"/>
        </w:rPr>
        <w:t xml:space="preserve">Une seule base de code, quatre plateformes : </w:t>
      </w:r>
      <w:r>
        <w:rPr>
          <w:rFonts w:ascii="Calibri" w:cs="Calibri" w:eastAsia="Calibri" w:hAnsi="Calibri"/>
          <w:color w:val="222222"/>
          <w:sz w:val="22"/>
          <w:szCs w:val="22"/>
          <w:rtl w:val="false"/>
        </w:rPr>
        <w:t xml:space="preserve">Android, iOS, Web et Windows — toutes issues d'une base de code Flutter unique, sans coût de développement supplémentaire ni risque d'incohérence.</w:t>
      </w:r>
    </w:p>
    <w:p>
      <w:pPr>
        <w:pStyle w:val="Heading2"/>
        <w:pBdr>
          <w:bottom w:val="single" w:color="6A1B9A" w:sz="6" w:space="4"/>
        </w:pBdr>
        <w:bidi w:val="false"/>
        <w:spacing w:after="160" w:before="320"/>
        <w:jc w:val="left"/>
      </w:pPr>
      <w:r>
        <w:rPr>
          <w:rFonts w:ascii="Calibri" w:cs="Calibri" w:eastAsia="Calibri" w:hAnsi="Calibri"/>
          <w:b/>
          <w:bCs/>
          <w:color w:val="4A0072"/>
          <w:sz w:val="30"/>
          <w:szCs w:val="30"/>
          <w:rtl w:val="false"/>
        </w:rPr>
        <w:t xml:space="preserve">Tableau de bord élève</w:t>
      </w:r>
    </w:p>
    <w:p>
      <w:pPr>
        <w:bidi w:val="false"/>
        <w:spacing w:after="120" w:before="0"/>
        <w:jc w:val="left"/>
      </w:pPr>
      <w:r>
        <w:rPr>
          <w:rFonts w:ascii="Calibri" w:cs="Calibri" w:eastAsia="Calibri" w:hAnsi="Calibri"/>
          <w:b w:val="false"/>
          <w:bCs w:val="false"/>
          <w:i w:val="false"/>
          <w:iCs w:val="false"/>
          <w:color w:val="222222"/>
          <w:sz w:val="22"/>
          <w:szCs w:val="22"/>
          <w:rtl w:val="false"/>
        </w:rPr>
        <w:t xml:space="preserve">Le cœur de la plateforme, là où se construit l'expérience d'apprentissage quotidienne :</w:t>
      </w:r>
    </w:p>
    <w:tbl>
      <w:tblPr>
        <w:bidiVisual w:val="false"/>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6A1B9A" w:val="clear"/>
            <w:tcMar>
              <w:top w:type="dxa" w:w="80"/>
              <w:left w:type="dxa" w:w="120"/>
              <w:bottom w:type="dxa" w:w="80"/>
              <w:right w:type="dxa" w:w="120"/>
            </w:tcMar>
            <w:vAlign w:val="center"/>
          </w:tcPr>
          <w:p>
            <w:pPr>
              <w:bidi w:val="false"/>
              <w:jc w:val="left"/>
            </w:pPr>
            <w:r>
              <w:rPr>
                <w:rFonts w:ascii="Calibri" w:cs="Calibri" w:eastAsia="Calibri" w:hAnsi="Calibri"/>
                <w:b/>
                <w:bCs/>
                <w:color w:val="FFFFFF"/>
                <w:sz w:val="20"/>
                <w:szCs w:val="20"/>
                <w:rtl w:val="false"/>
              </w:rPr>
              <w:t xml:space="preserve">Section</w:t>
            </w:r>
          </w:p>
        </w:tc>
        <w:tc>
          <w:tcPr>
            <w:tcW w:type="dxa" w:w="7200"/>
            <w:shd w:fill="6A1B9A" w:val="clear"/>
            <w:tcMar>
              <w:top w:type="dxa" w:w="80"/>
              <w:left w:type="dxa" w:w="120"/>
              <w:bottom w:type="dxa" w:w="80"/>
              <w:right w:type="dxa" w:w="120"/>
            </w:tcMar>
            <w:vAlign w:val="center"/>
          </w:tcPr>
          <w:p>
            <w:pPr>
              <w:bidi w:val="false"/>
              <w:jc w:val="left"/>
            </w:pPr>
            <w:r>
              <w:rPr>
                <w:rFonts w:ascii="Calibri" w:cs="Calibri" w:eastAsia="Calibri" w:hAnsi="Calibri"/>
                <w:b/>
                <w:bCs/>
                <w:color w:val="FFFFFF"/>
                <w:sz w:val="20"/>
                <w:szCs w:val="20"/>
                <w:rtl w:val="false"/>
              </w:rPr>
              <w:t xml:space="preserve">Fonction</w:t>
            </w:r>
          </w:p>
        </w:tc>
      </w:tr>
      <w:tr>
        <w:tc>
          <w:tcPr>
            <w:tcW w:type="dxa" w:w="2200"/>
            <w:shd w:fill="FFFFFF" w:val="clear"/>
            <w:tcMar>
              <w:top w:type="dxa" w:w="80"/>
              <w:left w:type="dxa" w:w="120"/>
              <w:bottom w:type="dxa" w:w="80"/>
              <w:right w:type="dxa" w:w="120"/>
            </w:tcMar>
            <w:vAlign w:val="center"/>
          </w:tcPr>
          <w:p>
            <w:pPr>
              <w:bidi w:val="false"/>
              <w:jc w:val="left"/>
            </w:pPr>
            <w:r>
              <w:rPr>
                <w:rFonts w:ascii="Calibri" w:cs="Calibri" w:eastAsia="Calibri" w:hAnsi="Calibri"/>
                <w:b w:val="false"/>
                <w:bCs w:val="false"/>
                <w:color w:val="222222"/>
                <w:sz w:val="20"/>
                <w:szCs w:val="20"/>
                <w:rtl w:val="false"/>
              </w:rPr>
              <w:t xml:space="preserve">Tableau de bord principal</w:t>
            </w:r>
          </w:p>
        </w:tc>
        <w:tc>
          <w:tcPr>
            <w:tcW w:type="dxa" w:w="7200"/>
            <w:shd w:fill="FFFFFF" w:val="clear"/>
            <w:tcMar>
              <w:top w:type="dxa" w:w="80"/>
              <w:left w:type="dxa" w:w="120"/>
              <w:bottom w:type="dxa" w:w="80"/>
              <w:right w:type="dxa" w:w="120"/>
            </w:tcMar>
            <w:vAlign w:val="center"/>
          </w:tcPr>
          <w:p>
            <w:pPr>
              <w:bidi w:val="false"/>
              <w:jc w:val="left"/>
            </w:pPr>
            <w:r>
              <w:rPr>
                <w:rFonts w:ascii="Calibri" w:cs="Calibri" w:eastAsia="Calibri" w:hAnsi="Calibri"/>
                <w:b w:val="false"/>
                <w:bCs w:val="false"/>
                <w:color w:val="222222"/>
                <w:sz w:val="20"/>
                <w:szCs w:val="20"/>
                <w:rtl w:val="false"/>
              </w:rPr>
              <w:t xml:space="preserve">Vue d'ensemble des progrès, devoirs et notifications du jour</w:t>
            </w:r>
          </w:p>
        </w:tc>
      </w:tr>
      <w:tr>
        <w:tc>
          <w:tcPr>
            <w:tcW w:type="dxa" w:w="2200"/>
            <w:shd w:fill="F5F0F8" w:val="clear"/>
            <w:tcMar>
              <w:top w:type="dxa" w:w="80"/>
              <w:left w:type="dxa" w:w="120"/>
              <w:bottom w:type="dxa" w:w="80"/>
              <w:right w:type="dxa" w:w="120"/>
            </w:tcMar>
            <w:vAlign w:val="center"/>
          </w:tcPr>
          <w:p>
            <w:pPr>
              <w:bidi w:val="false"/>
              <w:jc w:val="left"/>
            </w:pPr>
            <w:r>
              <w:rPr>
                <w:rFonts w:ascii="Calibri" w:cs="Calibri" w:eastAsia="Calibri" w:hAnsi="Calibri"/>
                <w:b w:val="false"/>
                <w:bCs w:val="false"/>
                <w:color w:val="222222"/>
                <w:sz w:val="20"/>
                <w:szCs w:val="20"/>
                <w:rtl w:val="false"/>
              </w:rPr>
              <w:t xml:space="preserve">Carte de progression</w:t>
            </w:r>
          </w:p>
        </w:tc>
        <w:tc>
          <w:tcPr>
            <w:tcW w:type="dxa" w:w="7200"/>
            <w:shd w:fill="F5F0F8" w:val="clear"/>
            <w:tcMar>
              <w:top w:type="dxa" w:w="80"/>
              <w:left w:type="dxa" w:w="120"/>
              <w:bottom w:type="dxa" w:w="80"/>
              <w:right w:type="dxa" w:w="120"/>
            </w:tcMar>
            <w:vAlign w:val="center"/>
          </w:tcPr>
          <w:p>
            <w:pPr>
              <w:bidi w:val="false"/>
              <w:jc w:val="left"/>
            </w:pPr>
            <w:r>
              <w:rPr>
                <w:rFonts w:ascii="Calibri" w:cs="Calibri" w:eastAsia="Calibri" w:hAnsi="Calibri"/>
                <w:b w:val="false"/>
                <w:bCs w:val="false"/>
                <w:color w:val="222222"/>
                <w:sz w:val="20"/>
                <w:szCs w:val="20"/>
                <w:rtl w:val="false"/>
              </w:rPr>
              <w:t xml:space="preserve">Parcours visuel de progression du niveau C1 à C6</w:t>
            </w:r>
          </w:p>
        </w:tc>
      </w:tr>
      <w:tr>
        <w:tc>
          <w:tcPr>
            <w:tcW w:type="dxa" w:w="2200"/>
            <w:shd w:fill="FFFFFF" w:val="clear"/>
            <w:tcMar>
              <w:top w:type="dxa" w:w="80"/>
              <w:left w:type="dxa" w:w="120"/>
              <w:bottom w:type="dxa" w:w="80"/>
              <w:right w:type="dxa" w:w="120"/>
            </w:tcMar>
            <w:vAlign w:val="center"/>
          </w:tcPr>
          <w:p>
            <w:pPr>
              <w:bidi w:val="false"/>
              <w:jc w:val="left"/>
            </w:pPr>
            <w:r>
              <w:rPr>
                <w:rFonts w:ascii="Calibri" w:cs="Calibri" w:eastAsia="Calibri" w:hAnsi="Calibri"/>
                <w:b w:val="false"/>
                <w:bCs w:val="false"/>
                <w:color w:val="222222"/>
                <w:sz w:val="20"/>
                <w:szCs w:val="20"/>
                <w:rtl w:val="false"/>
              </w:rPr>
              <w:t xml:space="preserve">Programme scolaire</w:t>
            </w:r>
          </w:p>
        </w:tc>
        <w:tc>
          <w:tcPr>
            <w:tcW w:type="dxa" w:w="7200"/>
            <w:shd w:fill="FFFFFF" w:val="clear"/>
            <w:tcMar>
              <w:top w:type="dxa" w:w="80"/>
              <w:left w:type="dxa" w:w="120"/>
              <w:bottom w:type="dxa" w:w="80"/>
              <w:right w:type="dxa" w:w="120"/>
            </w:tcMar>
            <w:vAlign w:val="center"/>
          </w:tcPr>
          <w:p>
            <w:pPr>
              <w:bidi w:val="false"/>
              <w:jc w:val="left"/>
            </w:pPr>
            <w:r>
              <w:rPr>
                <w:rFonts w:ascii="Calibri" w:cs="Calibri" w:eastAsia="Calibri" w:hAnsi="Calibri"/>
                <w:b w:val="false"/>
                <w:bCs w:val="false"/>
                <w:color w:val="222222"/>
                <w:sz w:val="20"/>
                <w:szCs w:val="20"/>
                <w:rtl w:val="false"/>
              </w:rPr>
              <w:t xml:space="preserve">Structure matière → chapitre → leçon, avec le contenu complet de chaque leçon</w:t>
            </w:r>
          </w:p>
        </w:tc>
      </w:tr>
      <w:tr>
        <w:tc>
          <w:tcPr>
            <w:tcW w:type="dxa" w:w="2200"/>
            <w:shd w:fill="F5F0F8" w:val="clear"/>
            <w:tcMar>
              <w:top w:type="dxa" w:w="80"/>
              <w:left w:type="dxa" w:w="120"/>
              <w:bottom w:type="dxa" w:w="80"/>
              <w:right w:type="dxa" w:w="120"/>
            </w:tcMar>
            <w:vAlign w:val="center"/>
          </w:tcPr>
          <w:p>
            <w:pPr>
              <w:bidi w:val="false"/>
              <w:jc w:val="left"/>
            </w:pPr>
            <w:r>
              <w:rPr>
                <w:rFonts w:ascii="Calibri" w:cs="Calibri" w:eastAsia="Calibri" w:hAnsi="Calibri"/>
                <w:b w:val="false"/>
                <w:bCs w:val="false"/>
                <w:color w:val="222222"/>
                <w:sz w:val="20"/>
                <w:szCs w:val="20"/>
                <w:rtl w:val="false"/>
              </w:rPr>
              <w:t xml:space="preserve">Enseignant IA</w:t>
            </w:r>
          </w:p>
        </w:tc>
        <w:tc>
          <w:tcPr>
            <w:tcW w:type="dxa" w:w="7200"/>
            <w:shd w:fill="F5F0F8" w:val="clear"/>
            <w:tcMar>
              <w:top w:type="dxa" w:w="80"/>
              <w:left w:type="dxa" w:w="120"/>
              <w:bottom w:type="dxa" w:w="80"/>
              <w:right w:type="dxa" w:w="120"/>
            </w:tcMar>
            <w:vAlign w:val="center"/>
          </w:tcPr>
          <w:p>
            <w:pPr>
              <w:bidi w:val="false"/>
              <w:jc w:val="left"/>
            </w:pPr>
            <w:r>
              <w:rPr>
                <w:rFonts w:ascii="Calibri" w:cs="Calibri" w:eastAsia="Calibri" w:hAnsi="Calibri"/>
                <w:b w:val="false"/>
                <w:bCs w:val="false"/>
                <w:color w:val="222222"/>
                <w:sz w:val="20"/>
                <w:szCs w:val="20"/>
                <w:rtl w:val="false"/>
              </w:rPr>
              <w:t xml:space="preserve">Questions-réponses en direct sur les leçons, en voix et en texte, fondées sur le contenu réel du manuel</w:t>
            </w:r>
          </w:p>
        </w:tc>
      </w:tr>
      <w:tr>
        <w:tc>
          <w:tcPr>
            <w:tcW w:type="dxa" w:w="2200"/>
            <w:shd w:fill="FFFFFF" w:val="clear"/>
            <w:tcMar>
              <w:top w:type="dxa" w:w="80"/>
              <w:left w:type="dxa" w:w="120"/>
              <w:bottom w:type="dxa" w:w="80"/>
              <w:right w:type="dxa" w:w="120"/>
            </w:tcMar>
            <w:vAlign w:val="center"/>
          </w:tcPr>
          <w:p>
            <w:pPr>
              <w:bidi w:val="false"/>
              <w:jc w:val="left"/>
            </w:pPr>
            <w:r>
              <w:rPr>
                <w:rFonts w:ascii="Calibri" w:cs="Calibri" w:eastAsia="Calibri" w:hAnsi="Calibri"/>
                <w:b w:val="false"/>
                <w:bCs w:val="false"/>
                <w:color w:val="222222"/>
                <w:sz w:val="20"/>
                <w:szCs w:val="20"/>
                <w:rtl w:val="false"/>
              </w:rPr>
              <w:t xml:space="preserve">Conseiller IA</w:t>
            </w:r>
          </w:p>
        </w:tc>
        <w:tc>
          <w:tcPr>
            <w:tcW w:type="dxa" w:w="7200"/>
            <w:shd w:fill="FFFFFF" w:val="clear"/>
            <w:tcMar>
              <w:top w:type="dxa" w:w="80"/>
              <w:left w:type="dxa" w:w="120"/>
              <w:bottom w:type="dxa" w:w="80"/>
              <w:right w:type="dxa" w:w="120"/>
            </w:tcMar>
            <w:vAlign w:val="center"/>
          </w:tcPr>
          <w:p>
            <w:pPr>
              <w:bidi w:val="false"/>
              <w:jc w:val="left"/>
            </w:pPr>
            <w:r>
              <w:rPr>
                <w:rFonts w:ascii="Calibri" w:cs="Calibri" w:eastAsia="Calibri" w:hAnsi="Calibri"/>
                <w:b w:val="false"/>
                <w:bCs w:val="false"/>
                <w:color w:val="222222"/>
                <w:sz w:val="20"/>
                <w:szCs w:val="20"/>
                <w:rtl w:val="false"/>
              </w:rPr>
              <w:t xml:space="preserve">Un espace d'accompagnement distinct des leçons, pour guider et soutenir l'élève</w:t>
            </w:r>
          </w:p>
        </w:tc>
      </w:tr>
      <w:tr>
        <w:tc>
          <w:tcPr>
            <w:tcW w:type="dxa" w:w="2200"/>
            <w:shd w:fill="F5F0F8" w:val="clear"/>
            <w:tcMar>
              <w:top w:type="dxa" w:w="80"/>
              <w:left w:type="dxa" w:w="120"/>
              <w:bottom w:type="dxa" w:w="80"/>
              <w:right w:type="dxa" w:w="120"/>
            </w:tcMar>
            <w:vAlign w:val="center"/>
          </w:tcPr>
          <w:p>
            <w:pPr>
              <w:bidi w:val="false"/>
              <w:jc w:val="left"/>
            </w:pPr>
            <w:r>
              <w:rPr>
                <w:rFonts w:ascii="Calibri" w:cs="Calibri" w:eastAsia="Calibri" w:hAnsi="Calibri"/>
                <w:b w:val="false"/>
                <w:bCs w:val="false"/>
                <w:color w:val="222222"/>
                <w:sz w:val="20"/>
                <w:szCs w:val="20"/>
                <w:rtl w:val="false"/>
              </w:rPr>
              <w:t xml:space="preserve">Plan d'étude</w:t>
            </w:r>
          </w:p>
        </w:tc>
        <w:tc>
          <w:tcPr>
            <w:tcW w:type="dxa" w:w="7200"/>
            <w:shd w:fill="F5F0F8" w:val="clear"/>
            <w:tcMar>
              <w:top w:type="dxa" w:w="80"/>
              <w:left w:type="dxa" w:w="120"/>
              <w:bottom w:type="dxa" w:w="80"/>
              <w:right w:type="dxa" w:w="120"/>
            </w:tcMar>
            <w:vAlign w:val="center"/>
          </w:tcPr>
          <w:p>
            <w:pPr>
              <w:bidi w:val="false"/>
              <w:jc w:val="left"/>
            </w:pPr>
            <w:r>
              <w:rPr>
                <w:rFonts w:ascii="Calibri" w:cs="Calibri" w:eastAsia="Calibri" w:hAnsi="Calibri"/>
                <w:b w:val="false"/>
                <w:bCs w:val="false"/>
                <w:color w:val="222222"/>
                <w:sz w:val="20"/>
                <w:szCs w:val="20"/>
                <w:rtl w:val="false"/>
              </w:rPr>
              <w:t xml:space="preserve">Un plan hebdomadaire personnalisé</w:t>
            </w:r>
          </w:p>
        </w:tc>
      </w:tr>
      <w:tr>
        <w:tc>
          <w:tcPr>
            <w:tcW w:type="dxa" w:w="2200"/>
            <w:shd w:fill="FFFFFF" w:val="clear"/>
            <w:tcMar>
              <w:top w:type="dxa" w:w="80"/>
              <w:left w:type="dxa" w:w="120"/>
              <w:bottom w:type="dxa" w:w="80"/>
              <w:right w:type="dxa" w:w="120"/>
            </w:tcMar>
            <w:vAlign w:val="center"/>
          </w:tcPr>
          <w:p>
            <w:pPr>
              <w:bidi w:val="false"/>
              <w:jc w:val="left"/>
            </w:pPr>
            <w:r>
              <w:rPr>
                <w:rFonts w:ascii="Calibri" w:cs="Calibri" w:eastAsia="Calibri" w:hAnsi="Calibri"/>
                <w:b w:val="false"/>
                <w:bCs w:val="false"/>
                <w:color w:val="222222"/>
                <w:sz w:val="20"/>
                <w:szCs w:val="20"/>
                <w:rtl w:val="false"/>
              </w:rPr>
              <w:t xml:space="preserve">Examens</w:t>
            </w:r>
          </w:p>
        </w:tc>
        <w:tc>
          <w:tcPr>
            <w:tcW w:type="dxa" w:w="7200"/>
            <w:shd w:fill="FFFFFF" w:val="clear"/>
            <w:tcMar>
              <w:top w:type="dxa" w:w="80"/>
              <w:left w:type="dxa" w:w="120"/>
              <w:bottom w:type="dxa" w:w="80"/>
              <w:right w:type="dxa" w:w="120"/>
            </w:tcMar>
            <w:vAlign w:val="center"/>
          </w:tcPr>
          <w:p>
            <w:pPr>
              <w:bidi w:val="false"/>
              <w:jc w:val="left"/>
            </w:pPr>
            <w:r>
              <w:rPr>
                <w:rFonts w:ascii="Calibri" w:cs="Calibri" w:eastAsia="Calibri" w:hAnsi="Calibri"/>
                <w:b w:val="false"/>
                <w:bCs w:val="false"/>
                <w:color w:val="222222"/>
                <w:sz w:val="20"/>
                <w:szCs w:val="20"/>
                <w:rtl w:val="false"/>
              </w:rPr>
              <w:t xml:space="preserve">Évaluations en ligne avec notation côté serveur et certification de fin de parcours</w:t>
            </w:r>
          </w:p>
        </w:tc>
      </w:tr>
      <w:tr>
        <w:tc>
          <w:tcPr>
            <w:tcW w:type="dxa" w:w="2200"/>
            <w:shd w:fill="F5F0F8" w:val="clear"/>
            <w:tcMar>
              <w:top w:type="dxa" w:w="80"/>
              <w:left w:type="dxa" w:w="120"/>
              <w:bottom w:type="dxa" w:w="80"/>
              <w:right w:type="dxa" w:w="120"/>
            </w:tcMar>
            <w:vAlign w:val="center"/>
          </w:tcPr>
          <w:p>
            <w:pPr>
              <w:bidi w:val="false"/>
              <w:jc w:val="left"/>
            </w:pPr>
            <w:r>
              <w:rPr>
                <w:rFonts w:ascii="Calibri" w:cs="Calibri" w:eastAsia="Calibri" w:hAnsi="Calibri"/>
                <w:b w:val="false"/>
                <w:bCs w:val="false"/>
                <w:color w:val="222222"/>
                <w:sz w:val="20"/>
                <w:szCs w:val="20"/>
                <w:rtl w:val="false"/>
              </w:rPr>
              <w:t xml:space="preserve">Présence</w:t>
            </w:r>
          </w:p>
        </w:tc>
        <w:tc>
          <w:tcPr>
            <w:tcW w:type="dxa" w:w="7200"/>
            <w:shd w:fill="F5F0F8" w:val="clear"/>
            <w:tcMar>
              <w:top w:type="dxa" w:w="80"/>
              <w:left w:type="dxa" w:w="120"/>
              <w:bottom w:type="dxa" w:w="80"/>
              <w:right w:type="dxa" w:w="120"/>
            </w:tcMar>
            <w:vAlign w:val="center"/>
          </w:tcPr>
          <w:p>
            <w:pPr>
              <w:bidi w:val="false"/>
              <w:jc w:val="left"/>
            </w:pPr>
            <w:r>
              <w:rPr>
                <w:rFonts w:ascii="Calibri" w:cs="Calibri" w:eastAsia="Calibri" w:hAnsi="Calibri"/>
                <w:b w:val="false"/>
                <w:bCs w:val="false"/>
                <w:color w:val="222222"/>
                <w:sz w:val="20"/>
                <w:szCs w:val="20"/>
                <w:rtl w:val="false"/>
              </w:rPr>
              <w:t xml:space="preserve">Enregistrement et suivi de l'assiduité</w:t>
            </w:r>
          </w:p>
        </w:tc>
      </w:tr>
      <w:tr>
        <w:tc>
          <w:tcPr>
            <w:tcW w:type="dxa" w:w="2200"/>
            <w:shd w:fill="FFFFFF" w:val="clear"/>
            <w:tcMar>
              <w:top w:type="dxa" w:w="80"/>
              <w:left w:type="dxa" w:w="120"/>
              <w:bottom w:type="dxa" w:w="80"/>
              <w:right w:type="dxa" w:w="120"/>
            </w:tcMar>
            <w:vAlign w:val="center"/>
          </w:tcPr>
          <w:p>
            <w:pPr>
              <w:bidi w:val="false"/>
              <w:jc w:val="left"/>
            </w:pPr>
            <w:r>
              <w:rPr>
                <w:rFonts w:ascii="Calibri" w:cs="Calibri" w:eastAsia="Calibri" w:hAnsi="Calibri"/>
                <w:b w:val="false"/>
                <w:bCs w:val="false"/>
                <w:color w:val="222222"/>
                <w:sz w:val="20"/>
                <w:szCs w:val="20"/>
                <w:rtl w:val="false"/>
              </w:rPr>
              <w:t xml:space="preserve">Bibliothèque numérique</w:t>
            </w:r>
          </w:p>
        </w:tc>
        <w:tc>
          <w:tcPr>
            <w:tcW w:type="dxa" w:w="7200"/>
            <w:shd w:fill="FFFFFF" w:val="clear"/>
            <w:tcMar>
              <w:top w:type="dxa" w:w="80"/>
              <w:left w:type="dxa" w:w="120"/>
              <w:bottom w:type="dxa" w:w="80"/>
              <w:right w:type="dxa" w:w="120"/>
            </w:tcMar>
            <w:vAlign w:val="center"/>
          </w:tcPr>
          <w:p>
            <w:pPr>
              <w:bidi w:val="false"/>
              <w:jc w:val="left"/>
            </w:pPr>
            <w:r>
              <w:rPr>
                <w:rFonts w:ascii="Calibri" w:cs="Calibri" w:eastAsia="Calibri" w:hAnsi="Calibri"/>
                <w:b w:val="false"/>
                <w:bCs w:val="false"/>
                <w:color w:val="222222"/>
                <w:sz w:val="20"/>
                <w:szCs w:val="20"/>
                <w:rtl w:val="false"/>
              </w:rPr>
              <w:t xml:space="preserve">Accès aux manuels du programme au format PDF</w:t>
            </w:r>
          </w:p>
        </w:tc>
      </w:tr>
      <w:tr>
        <w:tc>
          <w:tcPr>
            <w:tcW w:type="dxa" w:w="2200"/>
            <w:shd w:fill="F5F0F8" w:val="clear"/>
            <w:tcMar>
              <w:top w:type="dxa" w:w="80"/>
              <w:left w:type="dxa" w:w="120"/>
              <w:bottom w:type="dxa" w:w="80"/>
              <w:right w:type="dxa" w:w="120"/>
            </w:tcMar>
            <w:vAlign w:val="center"/>
          </w:tcPr>
          <w:p>
            <w:pPr>
              <w:bidi w:val="false"/>
              <w:jc w:val="left"/>
            </w:pPr>
            <w:r>
              <w:rPr>
                <w:rFonts w:ascii="Calibri" w:cs="Calibri" w:eastAsia="Calibri" w:hAnsi="Calibri"/>
                <w:b w:val="false"/>
                <w:bCs w:val="false"/>
                <w:color w:val="222222"/>
                <w:sz w:val="20"/>
                <w:szCs w:val="20"/>
                <w:rtl w:val="false"/>
              </w:rPr>
              <w:t xml:space="preserve">Séminaires en direct</w:t>
            </w:r>
          </w:p>
        </w:tc>
        <w:tc>
          <w:tcPr>
            <w:tcW w:type="dxa" w:w="7200"/>
            <w:shd w:fill="F5F0F8" w:val="clear"/>
            <w:tcMar>
              <w:top w:type="dxa" w:w="80"/>
              <w:left w:type="dxa" w:w="120"/>
              <w:bottom w:type="dxa" w:w="80"/>
              <w:right w:type="dxa" w:w="120"/>
            </w:tcMar>
            <w:vAlign w:val="center"/>
          </w:tcPr>
          <w:p>
            <w:pPr>
              <w:bidi w:val="false"/>
              <w:jc w:val="left"/>
            </w:pPr>
            <w:r>
              <w:rPr>
                <w:rFonts w:ascii="Calibri" w:cs="Calibri" w:eastAsia="Calibri" w:hAnsi="Calibri"/>
                <w:b w:val="false"/>
                <w:bCs w:val="false"/>
                <w:color w:val="222222"/>
                <w:sz w:val="20"/>
                <w:szCs w:val="20"/>
                <w:rtl w:val="false"/>
              </w:rPr>
              <w:t xml:space="preserve">Cours vidéo en direct avec les enseignants et les camarades</w:t>
            </w:r>
          </w:p>
        </w:tc>
      </w:tr>
      <w:tr>
        <w:tc>
          <w:tcPr>
            <w:tcW w:type="dxa" w:w="2200"/>
            <w:shd w:fill="FFFFFF" w:val="clear"/>
            <w:tcMar>
              <w:top w:type="dxa" w:w="80"/>
              <w:left w:type="dxa" w:w="120"/>
              <w:bottom w:type="dxa" w:w="80"/>
              <w:right w:type="dxa" w:w="120"/>
            </w:tcMar>
            <w:vAlign w:val="center"/>
          </w:tcPr>
          <w:p>
            <w:pPr>
              <w:bidi w:val="false"/>
              <w:jc w:val="left"/>
            </w:pPr>
            <w:r>
              <w:rPr>
                <w:rFonts w:ascii="Calibri" w:cs="Calibri" w:eastAsia="Calibri" w:hAnsi="Calibri"/>
                <w:b w:val="false"/>
                <w:bCs w:val="false"/>
                <w:color w:val="222222"/>
                <w:sz w:val="20"/>
                <w:szCs w:val="20"/>
                <w:rtl w:val="false"/>
              </w:rPr>
              <w:t xml:space="preserve">Messagerie</w:t>
            </w:r>
          </w:p>
        </w:tc>
        <w:tc>
          <w:tcPr>
            <w:tcW w:type="dxa" w:w="7200"/>
            <w:shd w:fill="FFFFFF" w:val="clear"/>
            <w:tcMar>
              <w:top w:type="dxa" w:w="80"/>
              <w:left w:type="dxa" w:w="120"/>
              <w:bottom w:type="dxa" w:w="80"/>
              <w:right w:type="dxa" w:w="120"/>
            </w:tcMar>
            <w:vAlign w:val="center"/>
          </w:tcPr>
          <w:p>
            <w:pPr>
              <w:bidi w:val="false"/>
              <w:jc w:val="left"/>
            </w:pPr>
            <w:r>
              <w:rPr>
                <w:rFonts w:ascii="Calibri" w:cs="Calibri" w:eastAsia="Calibri" w:hAnsi="Calibri"/>
                <w:b w:val="false"/>
                <w:bCs w:val="false"/>
                <w:color w:val="222222"/>
                <w:sz w:val="20"/>
                <w:szCs w:val="20"/>
                <w:rtl w:val="false"/>
              </w:rPr>
              <w:t xml:space="preserve">Messagerie texte et vocale, avec supervision de sécurité par l'administration</w:t>
            </w:r>
          </w:p>
        </w:tc>
      </w:tr>
      <w:tr>
        <w:tc>
          <w:tcPr>
            <w:tcW w:type="dxa" w:w="2200"/>
            <w:shd w:fill="F5F0F8" w:val="clear"/>
            <w:tcMar>
              <w:top w:type="dxa" w:w="80"/>
              <w:left w:type="dxa" w:w="120"/>
              <w:bottom w:type="dxa" w:w="80"/>
              <w:right w:type="dxa" w:w="120"/>
            </w:tcMar>
            <w:vAlign w:val="center"/>
          </w:tcPr>
          <w:p>
            <w:pPr>
              <w:bidi w:val="false"/>
              <w:jc w:val="left"/>
            </w:pPr>
            <w:r>
              <w:rPr>
                <w:rFonts w:ascii="Calibri" w:cs="Calibri" w:eastAsia="Calibri" w:hAnsi="Calibri"/>
                <w:b w:val="false"/>
                <w:bCs w:val="false"/>
                <w:color w:val="222222"/>
                <w:sz w:val="20"/>
                <w:szCs w:val="20"/>
                <w:rtl w:val="false"/>
              </w:rPr>
              <w:t xml:space="preserve">Certificats</w:t>
            </w:r>
          </w:p>
        </w:tc>
        <w:tc>
          <w:tcPr>
            <w:tcW w:type="dxa" w:w="7200"/>
            <w:shd w:fill="F5F0F8" w:val="clear"/>
            <w:tcMar>
              <w:top w:type="dxa" w:w="80"/>
              <w:left w:type="dxa" w:w="120"/>
              <w:bottom w:type="dxa" w:w="80"/>
              <w:right w:type="dxa" w:w="120"/>
            </w:tcMar>
            <w:vAlign w:val="center"/>
          </w:tcPr>
          <w:p>
            <w:pPr>
              <w:bidi w:val="false"/>
              <w:jc w:val="left"/>
            </w:pPr>
            <w:r>
              <w:rPr>
                <w:rFonts w:ascii="Calibri" w:cs="Calibri" w:eastAsia="Calibri" w:hAnsi="Calibri"/>
                <w:b w:val="false"/>
                <w:bCs w:val="false"/>
                <w:color w:val="222222"/>
                <w:sz w:val="20"/>
                <w:szCs w:val="20"/>
                <w:rtl w:val="false"/>
              </w:rPr>
              <w:t xml:space="preserve">Certificats numériques avec code QR vérifiable internationalement (à l'image de Coursera/edX)</w:t>
            </w:r>
          </w:p>
        </w:tc>
      </w:tr>
    </w:tbl>
    <w:p>
      <w:pPr>
        <w:pStyle w:val="Heading2"/>
        <w:pBdr>
          <w:bottom w:val="single" w:color="6A1B9A" w:sz="6" w:space="4"/>
        </w:pBdr>
        <w:bidi w:val="false"/>
        <w:spacing w:after="160" w:before="320"/>
        <w:jc w:val="left"/>
      </w:pPr>
      <w:r>
        <w:rPr>
          <w:rFonts w:ascii="Calibri" w:cs="Calibri" w:eastAsia="Calibri" w:hAnsi="Calibri"/>
          <w:b/>
          <w:bCs/>
          <w:color w:val="4A0072"/>
          <w:sz w:val="30"/>
          <w:szCs w:val="30"/>
          <w:rtl w:val="false"/>
        </w:rPr>
        <w:t xml:space="preserve">Tableau de bord parents</w:t>
      </w:r>
    </w:p>
    <w:p>
      <w:pPr>
        <w:bidi w:val="false"/>
        <w:spacing w:after="120" w:before="0"/>
        <w:jc w:val="left"/>
      </w:pPr>
      <w:r>
        <w:rPr>
          <w:rFonts w:ascii="Calibri" w:cs="Calibri" w:eastAsia="Calibri" w:hAnsi="Calibri"/>
          <w:b w:val="false"/>
          <w:bCs w:val="false"/>
          <w:i w:val="false"/>
          <w:iCs w:val="false"/>
          <w:color w:val="222222"/>
          <w:sz w:val="22"/>
          <w:szCs w:val="22"/>
          <w:rtl w:val="false"/>
        </w:rPr>
        <w:t xml:space="preserve">Les parents peuvent suivre les progrès de leur fille sans avoir à se déplacer : consultation des notes et des progrès scolaires, information sur les séminaires à venir, communication directe avec l'administration de l'école, et réception des notifications importantes — le tout dans un tableau de bord simple et clair.</w:t>
      </w:r>
    </w:p>
    <w:p>
      <w:pPr>
        <w:pStyle w:val="Heading2"/>
        <w:pBdr>
          <w:bottom w:val="single" w:color="6A1B9A" w:sz="6" w:space="4"/>
        </w:pBdr>
        <w:bidi w:val="false"/>
        <w:spacing w:after="160" w:before="320"/>
        <w:jc w:val="left"/>
      </w:pPr>
      <w:r>
        <w:rPr>
          <w:rFonts w:ascii="Calibri" w:cs="Calibri" w:eastAsia="Calibri" w:hAnsi="Calibri"/>
          <w:b/>
          <w:bCs/>
          <w:color w:val="4A0072"/>
          <w:sz w:val="30"/>
          <w:szCs w:val="30"/>
          <w:rtl w:val="false"/>
        </w:rPr>
        <w:t xml:space="preserve">Tableau de bord enseignant (Instructor)</w:t>
      </w:r>
    </w:p>
    <w:p>
      <w:pPr>
        <w:bidi w:val="false"/>
        <w:spacing w:after="120" w:before="0"/>
        <w:jc w:val="left"/>
      </w:pPr>
      <w:r>
        <w:rPr>
          <w:rFonts w:ascii="Calibri" w:cs="Calibri" w:eastAsia="Calibri" w:hAnsi="Calibri"/>
          <w:b w:val="false"/>
          <w:bCs w:val="false"/>
          <w:i w:val="false"/>
          <w:iCs w:val="false"/>
          <w:color w:val="222222"/>
          <w:sz w:val="22"/>
          <w:szCs w:val="22"/>
          <w:rtl w:val="false"/>
        </w:rPr>
        <w:t xml:space="preserve">Les enseignants s'inscrivent via un parcours dédié avec code d'invitation et disposent d'un accueil enseignant, d'une messagerie de diffusion (broadcast), d'un contact avec l'administration et d'un profil personnel.</w:t>
      </w:r>
    </w:p>
    <w:p>
      <w:pPr>
        <w:pStyle w:val="Heading2"/>
        <w:pBdr>
          <w:bottom w:val="single" w:color="6A1B9A" w:sz="6" w:space="4"/>
        </w:pBdr>
        <w:bidi w:val="false"/>
        <w:spacing w:after="160" w:before="320"/>
        <w:jc w:val="left"/>
      </w:pPr>
      <w:r>
        <w:rPr>
          <w:rFonts w:ascii="Calibri" w:cs="Calibri" w:eastAsia="Calibri" w:hAnsi="Calibri"/>
          <w:b/>
          <w:bCs/>
          <w:color w:val="4A0072"/>
          <w:sz w:val="30"/>
          <w:szCs w:val="30"/>
          <w:rtl w:val="false"/>
        </w:rPr>
        <w:t xml:space="preserve">Tableau de bord administrateur — le centre de pilotage de l'école</w:t>
      </w:r>
    </w:p>
    <w:p>
      <w:pPr>
        <w:bidi w:val="false"/>
        <w:spacing w:after="120" w:before="0"/>
        <w:jc w:val="left"/>
      </w:pPr>
      <w:r>
        <w:rPr>
          <w:rFonts w:ascii="Calibri" w:cs="Calibri" w:eastAsia="Calibri" w:hAnsi="Calibri"/>
          <w:b w:val="false"/>
          <w:bCs w:val="false"/>
          <w:i w:val="false"/>
          <w:iCs w:val="false"/>
          <w:color w:val="222222"/>
          <w:sz w:val="22"/>
          <w:szCs w:val="22"/>
          <w:rtl w:val="false"/>
        </w:rPr>
        <w:t xml:space="preserve">La section la plus avancée de la plateforme, dotée d'outils de gestion de niveau professionnel :</w:t>
      </w:r>
    </w:p>
    <w:p>
      <w:pPr>
        <w:pStyle w:val="ListParagraph"/>
        <w:numPr>
          <w:ilvl w:val="0"/>
          <w:numId w:val="2"/>
        </w:numPr>
        <w:bidi w:val="false"/>
        <w:spacing w:after="80"/>
        <w:jc w:val="left"/>
      </w:pPr>
      <w:r>
        <w:rPr>
          <w:rFonts w:ascii="Calibri" w:cs="Calibri" w:eastAsia="Calibri" w:hAnsi="Calibri"/>
          <w:b/>
          <w:bCs/>
          <w:color w:val="4A0072"/>
          <w:sz w:val="22"/>
          <w:szCs w:val="22"/>
          <w:rtl w:val="false"/>
        </w:rPr>
        <w:t xml:space="preserve">Tableau de bord statistique : </w:t>
      </w:r>
      <w:r>
        <w:rPr>
          <w:rFonts w:ascii="Calibri" w:cs="Calibri" w:eastAsia="Calibri" w:hAnsi="Calibri"/>
          <w:color w:val="222222"/>
          <w:sz w:val="22"/>
          <w:szCs w:val="22"/>
          <w:rtl w:val="false"/>
        </w:rPr>
        <w:t xml:space="preserve">une vue d'ensemble de l'état de l'école en un coup d'œil</w:t>
      </w:r>
    </w:p>
    <w:p>
      <w:pPr>
        <w:pStyle w:val="ListParagraph"/>
        <w:numPr>
          <w:ilvl w:val="0"/>
          <w:numId w:val="2"/>
        </w:numPr>
        <w:bidi w:val="false"/>
        <w:spacing w:after="80"/>
        <w:jc w:val="left"/>
      </w:pPr>
      <w:r>
        <w:rPr>
          <w:rFonts w:ascii="Calibri" w:cs="Calibri" w:eastAsia="Calibri" w:hAnsi="Calibri"/>
          <w:b/>
          <w:bCs/>
          <w:color w:val="4A0072"/>
          <w:sz w:val="22"/>
          <w:szCs w:val="22"/>
          <w:rtl w:val="false"/>
        </w:rPr>
        <w:t xml:space="preserve">Gestion des utilisateurs : </w:t>
      </w:r>
      <w:r>
        <w:rPr>
          <w:rFonts w:ascii="Calibri" w:cs="Calibri" w:eastAsia="Calibri" w:hAnsi="Calibri"/>
          <w:color w:val="222222"/>
          <w:sz w:val="22"/>
          <w:szCs w:val="22"/>
          <w:rtl w:val="false"/>
        </w:rPr>
        <w:t xml:space="preserve">contrôle complet des élèves, enseignants et parents — avec filtres par niveau, province, statut et signalement de risque</w:t>
      </w:r>
    </w:p>
    <w:p>
      <w:pPr>
        <w:pStyle w:val="ListParagraph"/>
        <w:numPr>
          <w:ilvl w:val="0"/>
          <w:numId w:val="2"/>
        </w:numPr>
        <w:bidi w:val="false"/>
        <w:spacing w:after="80"/>
        <w:jc w:val="left"/>
      </w:pPr>
      <w:r>
        <w:rPr>
          <w:rFonts w:ascii="Calibri" w:cs="Calibri" w:eastAsia="Calibri" w:hAnsi="Calibri"/>
          <w:b/>
          <w:bCs/>
          <w:color w:val="4A0072"/>
          <w:sz w:val="22"/>
          <w:szCs w:val="22"/>
          <w:rtl w:val="false"/>
        </w:rPr>
        <w:t xml:space="preserve">CMS (gestion de contenu) : </w:t>
      </w:r>
      <w:r>
        <w:rPr>
          <w:rFonts w:ascii="Calibri" w:cs="Calibri" w:eastAsia="Calibri" w:hAnsi="Calibri"/>
          <w:color w:val="222222"/>
          <w:sz w:val="22"/>
          <w:szCs w:val="22"/>
          <w:rtl w:val="false"/>
        </w:rPr>
        <w:t xml:space="preserve">téléversement de PDF de programme, extraction automatique du texte, création de chapitres et de leçons, rédaction d'examens</w:t>
      </w:r>
    </w:p>
    <w:p>
      <w:pPr>
        <w:pStyle w:val="ListParagraph"/>
        <w:numPr>
          <w:ilvl w:val="0"/>
          <w:numId w:val="2"/>
        </w:numPr>
        <w:bidi w:val="false"/>
        <w:spacing w:after="80"/>
        <w:jc w:val="left"/>
      </w:pPr>
      <w:r>
        <w:rPr>
          <w:rFonts w:ascii="Calibri" w:cs="Calibri" w:eastAsia="Calibri" w:hAnsi="Calibri"/>
          <w:b/>
          <w:bCs/>
          <w:color w:val="4A0072"/>
          <w:sz w:val="22"/>
          <w:szCs w:val="22"/>
          <w:rtl w:val="false"/>
        </w:rPr>
        <w:t xml:space="preserve">Gestion de l'Enseignant IA : </w:t>
      </w:r>
      <w:r>
        <w:rPr>
          <w:rFonts w:ascii="Calibri" w:cs="Calibri" w:eastAsia="Calibri" w:hAnsi="Calibri"/>
          <w:color w:val="222222"/>
          <w:sz w:val="22"/>
          <w:szCs w:val="22"/>
          <w:rtl w:val="false"/>
        </w:rPr>
        <w:t xml:space="preserve">configuration des personas de l'Enseignant IA + import massif de contenu</w:t>
      </w:r>
    </w:p>
    <w:p>
      <w:pPr>
        <w:pStyle w:val="ListParagraph"/>
        <w:numPr>
          <w:ilvl w:val="0"/>
          <w:numId w:val="2"/>
        </w:numPr>
        <w:bidi w:val="false"/>
        <w:spacing w:after="80"/>
        <w:jc w:val="left"/>
      </w:pPr>
      <w:r>
        <w:rPr>
          <w:rFonts w:ascii="Calibri" w:cs="Calibri" w:eastAsia="Calibri" w:hAnsi="Calibri"/>
          <w:b/>
          <w:bCs/>
          <w:color w:val="4A0072"/>
          <w:sz w:val="22"/>
          <w:szCs w:val="22"/>
          <w:rtl w:val="false"/>
        </w:rPr>
        <w:t xml:space="preserve">File de sécurité : </w:t>
      </w:r>
      <w:r>
        <w:rPr>
          <w:rFonts w:ascii="Calibri" w:cs="Calibri" w:eastAsia="Calibri" w:hAnsi="Calibri"/>
          <w:color w:val="222222"/>
          <w:sz w:val="22"/>
          <w:szCs w:val="22"/>
          <w:rtl w:val="false"/>
        </w:rPr>
        <w:t xml:space="preserve">identification et traitement rapides de toute préoccupation liée à la sécurité des élèves</w:t>
      </w:r>
    </w:p>
    <w:p>
      <w:pPr>
        <w:pStyle w:val="ListParagraph"/>
        <w:numPr>
          <w:ilvl w:val="0"/>
          <w:numId w:val="2"/>
        </w:numPr>
        <w:bidi w:val="false"/>
        <w:spacing w:after="80"/>
        <w:jc w:val="left"/>
      </w:pPr>
      <w:r>
        <w:rPr>
          <w:rFonts w:ascii="Calibri" w:cs="Calibri" w:eastAsia="Calibri" w:hAnsi="Calibri"/>
          <w:b/>
          <w:bCs/>
          <w:color w:val="4A0072"/>
          <w:sz w:val="22"/>
          <w:szCs w:val="22"/>
          <w:rtl w:val="false"/>
        </w:rPr>
        <w:t xml:space="preserve">Supervision des messageries : </w:t>
      </w:r>
      <w:r>
        <w:rPr>
          <w:rFonts w:ascii="Calibri" w:cs="Calibri" w:eastAsia="Calibri" w:hAnsi="Calibri"/>
          <w:color w:val="222222"/>
          <w:sz w:val="22"/>
          <w:szCs w:val="22"/>
          <w:rtl w:val="false"/>
        </w:rPr>
        <w:t xml:space="preserve">revue des conversations classe par classe avec identité réelle de l'expéditeur, avant que les messages signalés n'atteignent leur destinataire</w:t>
      </w:r>
    </w:p>
    <w:p>
      <w:pPr>
        <w:pStyle w:val="ListParagraph"/>
        <w:numPr>
          <w:ilvl w:val="0"/>
          <w:numId w:val="2"/>
        </w:numPr>
        <w:bidi w:val="false"/>
        <w:spacing w:after="80"/>
        <w:jc w:val="left"/>
      </w:pPr>
      <w:r>
        <w:rPr>
          <w:rFonts w:ascii="Calibri" w:cs="Calibri" w:eastAsia="Calibri" w:hAnsi="Calibri"/>
          <w:b/>
          <w:bCs/>
          <w:color w:val="4A0072"/>
          <w:sz w:val="22"/>
          <w:szCs w:val="22"/>
          <w:rtl w:val="false"/>
        </w:rPr>
        <w:t xml:space="preserve">Rapports : </w:t>
      </w:r>
      <w:r>
        <w:rPr>
          <w:rFonts w:ascii="Calibri" w:cs="Calibri" w:eastAsia="Calibri" w:hAnsi="Calibri"/>
          <w:color w:val="222222"/>
          <w:sz w:val="22"/>
          <w:szCs w:val="22"/>
          <w:rtl w:val="false"/>
        </w:rPr>
        <w:t xml:space="preserve">analyses fondées sur des données réelles, incluant des rapports d'analyse générés par IA pour chaque élève</w:t>
      </w:r>
    </w:p>
    <w:p>
      <w:pPr>
        <w:pStyle w:val="ListParagraph"/>
        <w:numPr>
          <w:ilvl w:val="0"/>
          <w:numId w:val="2"/>
        </w:numPr>
        <w:bidi w:val="false"/>
        <w:spacing w:after="80"/>
        <w:jc w:val="left"/>
      </w:pPr>
      <w:r>
        <w:rPr>
          <w:rFonts w:ascii="Calibri" w:cs="Calibri" w:eastAsia="Calibri" w:hAnsi="Calibri"/>
          <w:b/>
          <w:bCs/>
          <w:color w:val="4A0072"/>
          <w:sz w:val="22"/>
          <w:szCs w:val="22"/>
          <w:rtl w:val="false"/>
        </w:rPr>
        <w:t xml:space="preserve">Gestion des séminaires : </w:t>
      </w:r>
      <w:r>
        <w:rPr>
          <w:rFonts w:ascii="Calibri" w:cs="Calibri" w:eastAsia="Calibri" w:hAnsi="Calibri"/>
          <w:color w:val="222222"/>
          <w:sz w:val="22"/>
          <w:szCs w:val="22"/>
          <w:rtl w:val="false"/>
        </w:rPr>
        <w:t xml:space="preserve">planification et diffusion en direct des événements éducatifs</w:t>
      </w:r>
    </w:p>
    <w:p>
      <w:pPr>
        <w:pStyle w:val="ListParagraph"/>
        <w:numPr>
          <w:ilvl w:val="0"/>
          <w:numId w:val="2"/>
        </w:numPr>
        <w:bidi w:val="false"/>
        <w:spacing w:after="80"/>
        <w:jc w:val="left"/>
      </w:pPr>
      <w:r>
        <w:rPr>
          <w:rFonts w:ascii="Calibri" w:cs="Calibri" w:eastAsia="Calibri" w:hAnsi="Calibri"/>
          <w:b/>
          <w:bCs/>
          <w:color w:val="4A0072"/>
          <w:sz w:val="22"/>
          <w:szCs w:val="22"/>
          <w:rtl w:val="false"/>
        </w:rPr>
        <w:t xml:space="preserve">Journal d'audit : </w:t>
      </w:r>
      <w:r>
        <w:rPr>
          <w:rFonts w:ascii="Calibri" w:cs="Calibri" w:eastAsia="Calibri" w:hAnsi="Calibri"/>
          <w:color w:val="222222"/>
          <w:sz w:val="22"/>
          <w:szCs w:val="22"/>
          <w:rtl w:val="false"/>
        </w:rPr>
        <w:t xml:space="preserve">enregistrement immuable de toutes les actions administratives sensibles, y compris le texte intégral des requêtes envoyées à l'IA</w:t>
      </w:r>
    </w:p>
    <w:p>
      <w:pPr>
        <w:pStyle w:val="Heading2"/>
        <w:pBdr>
          <w:bottom w:val="single" w:color="6A1B9A" w:sz="6" w:space="4"/>
        </w:pBdr>
        <w:bidi w:val="false"/>
        <w:spacing w:after="160" w:before="320"/>
        <w:jc w:val="left"/>
      </w:pPr>
      <w:r>
        <w:rPr>
          <w:rFonts w:ascii="Calibri" w:cs="Calibri" w:eastAsia="Calibri" w:hAnsi="Calibri"/>
          <w:b/>
          <w:bCs/>
          <w:color w:val="4A0072"/>
          <w:sz w:val="30"/>
          <w:szCs w:val="30"/>
          <w:rtl w:val="false"/>
        </w:rPr>
        <w:t xml:space="preserve">Espaces communautaires partagés</w:t>
      </w:r>
    </w:p>
    <w:p>
      <w:pPr>
        <w:pStyle w:val="ListParagraph"/>
        <w:numPr>
          <w:ilvl w:val="0"/>
          <w:numId w:val="2"/>
        </w:numPr>
        <w:bidi w:val="false"/>
        <w:spacing w:after="80"/>
        <w:jc w:val="left"/>
      </w:pPr>
      <w:r>
        <w:rPr>
          <w:rFonts w:ascii="Calibri" w:cs="Calibri" w:eastAsia="Calibri" w:hAnsi="Calibri"/>
          <w:b/>
          <w:bCs/>
          <w:color w:val="4A0072"/>
          <w:sz w:val="22"/>
          <w:szCs w:val="22"/>
          <w:rtl w:val="false"/>
        </w:rPr>
        <w:t xml:space="preserve">Mémoire collective : </w:t>
      </w:r>
      <w:r>
        <w:rPr>
          <w:rFonts w:ascii="Calibri" w:cs="Calibri" w:eastAsia="Calibri" w:hAnsi="Calibri"/>
          <w:color w:val="222222"/>
          <w:sz w:val="22"/>
          <w:szCs w:val="22"/>
          <w:rtl w:val="false"/>
        </w:rPr>
        <w:t xml:space="preserve">un fil social sécurisé, hébergé côté serveur, propre à l'école, avec publications, commentaires et réactions — protégé contre l'usurpation d'identité.</w:t>
      </w:r>
    </w:p>
    <w:p>
      <w:pPr>
        <w:pStyle w:val="ListParagraph"/>
        <w:numPr>
          <w:ilvl w:val="0"/>
          <w:numId w:val="2"/>
        </w:numPr>
        <w:bidi w:val="false"/>
        <w:spacing w:after="80"/>
        <w:jc w:val="left"/>
      </w:pPr>
      <w:r>
        <w:rPr>
          <w:rFonts w:ascii="Calibri" w:cs="Calibri" w:eastAsia="Calibri" w:hAnsi="Calibri"/>
          <w:b/>
          <w:bCs/>
          <w:color w:val="4A0072"/>
          <w:sz w:val="22"/>
          <w:szCs w:val="22"/>
          <w:rtl w:val="false"/>
        </w:rPr>
        <w:t xml:space="preserve">Salle de séminaire et diffusion en direct : </w:t>
      </w:r>
      <w:r>
        <w:rPr>
          <w:rFonts w:ascii="Calibri" w:cs="Calibri" w:eastAsia="Calibri" w:hAnsi="Calibri"/>
          <w:color w:val="222222"/>
          <w:sz w:val="22"/>
          <w:szCs w:val="22"/>
          <w:rtl w:val="false"/>
        </w:rPr>
        <w:t xml:space="preserve">une véritable infrastructure de visioconférence avec trois niveaux de secours (Cloudflare Stream, Jitsi et un lien de réunion manuel) afin qu'aucun cours ne soit perdu pour une raison technique.</w:t>
      </w:r>
    </w:p>
    <w:p>
      <w:pPr>
        <w:pStyle w:val="Heading2"/>
        <w:pBdr>
          <w:bottom w:val="single" w:color="6A1B9A" w:sz="6" w:space="4"/>
        </w:pBdr>
        <w:bidi w:val="false"/>
        <w:spacing w:after="160" w:before="320"/>
        <w:jc w:val="left"/>
      </w:pPr>
      <w:r>
        <w:rPr>
          <w:rFonts w:ascii="Calibri" w:cs="Calibri" w:eastAsia="Calibri" w:hAnsi="Calibri"/>
          <w:b/>
          <w:bCs/>
          <w:color w:val="4A0072"/>
          <w:sz w:val="30"/>
          <w:szCs w:val="30"/>
          <w:rtl w:val="false"/>
        </w:rPr>
        <w:t xml:space="preserve">Points forts clés — ce qui distingue cette plateforme</w:t>
      </w:r>
    </w:p>
    <w:p>
      <w:pPr>
        <w:pStyle w:val="ListParagraph"/>
        <w:numPr>
          <w:ilvl w:val="0"/>
          <w:numId w:val="2"/>
        </w:numPr>
        <w:bidi w:val="false"/>
        <w:spacing w:after="80"/>
        <w:jc w:val="left"/>
      </w:pPr>
      <w:r>
        <w:rPr>
          <w:rFonts w:ascii="Calibri" w:cs="Calibri" w:eastAsia="Calibri" w:hAnsi="Calibri"/>
          <w:color w:val="222222"/>
          <w:sz w:val="22"/>
          <w:szCs w:val="22"/>
          <w:rtl w:val="false"/>
        </w:rPr>
        <w:t xml:space="preserve">Un multilinguisme réel et complet : dari, pachto, anglais et français — avec une prise en charge complète de l'écriture de droite à gauche (RTL) sur chaque écran</w:t>
      </w:r>
    </w:p>
    <w:p>
      <w:pPr>
        <w:pStyle w:val="ListParagraph"/>
        <w:numPr>
          <w:ilvl w:val="0"/>
          <w:numId w:val="2"/>
        </w:numPr>
        <w:bidi w:val="false"/>
        <w:spacing w:after="80"/>
        <w:jc w:val="left"/>
      </w:pPr>
      <w:r>
        <w:rPr>
          <w:rFonts w:ascii="Calibri" w:cs="Calibri" w:eastAsia="Calibri" w:hAnsi="Calibri"/>
          <w:color w:val="222222"/>
          <w:sz w:val="22"/>
          <w:szCs w:val="22"/>
          <w:rtl w:val="false"/>
        </w:rPr>
        <w:t xml:space="preserve">Une sécurité en plusieurs couches : authentification JWT, hachage des mots de passe PBKDF2-SHA256 (100 000 itérations), vérification par e-mail et journal d'audit immuable</w:t>
      </w:r>
    </w:p>
    <w:p>
      <w:pPr>
        <w:pStyle w:val="ListParagraph"/>
        <w:numPr>
          <w:ilvl w:val="0"/>
          <w:numId w:val="2"/>
        </w:numPr>
        <w:bidi w:val="false"/>
        <w:spacing w:after="80"/>
        <w:jc w:val="left"/>
      </w:pPr>
      <w:r>
        <w:rPr>
          <w:rFonts w:ascii="Calibri" w:cs="Calibri" w:eastAsia="Calibri" w:hAnsi="Calibri"/>
          <w:color w:val="222222"/>
          <w:sz w:val="22"/>
          <w:szCs w:val="22"/>
          <w:rtl w:val="false"/>
        </w:rPr>
        <w:t xml:space="preserve">Une gamification pensée pour l'engagement : un système de points, de niveaux et d'animations de célébration pour entretenir la motivation des élèves</w:t>
      </w:r>
    </w:p>
    <w:p>
      <w:pPr>
        <w:pStyle w:val="ListParagraph"/>
        <w:numPr>
          <w:ilvl w:val="0"/>
          <w:numId w:val="2"/>
        </w:numPr>
        <w:bidi w:val="false"/>
        <w:spacing w:after="80"/>
        <w:jc w:val="left"/>
      </w:pPr>
      <w:r>
        <w:rPr>
          <w:rFonts w:ascii="Calibri" w:cs="Calibri" w:eastAsia="Calibri" w:hAnsi="Calibri"/>
          <w:color w:val="222222"/>
          <w:sz w:val="22"/>
          <w:szCs w:val="22"/>
          <w:rtl w:val="false"/>
        </w:rPr>
        <w:t xml:space="preserve">Des certificats numériques crédibles à l'international : un code QR qui permet à tout tiers de vérifier l'authenticité d'un certificat, sans connexion requise</w:t>
      </w:r>
    </w:p>
    <w:p>
      <w:pPr>
        <w:pStyle w:val="ListParagraph"/>
        <w:numPr>
          <w:ilvl w:val="0"/>
          <w:numId w:val="2"/>
        </w:numPr>
        <w:bidi w:val="false"/>
        <w:spacing w:after="80"/>
        <w:jc w:val="left"/>
      </w:pPr>
      <w:r>
        <w:rPr>
          <w:rFonts w:ascii="Calibri" w:cs="Calibri" w:eastAsia="Calibri" w:hAnsi="Calibri"/>
          <w:color w:val="222222"/>
          <w:sz w:val="22"/>
          <w:szCs w:val="22"/>
          <w:rtl w:val="false"/>
        </w:rPr>
        <w:t xml:space="preserve">Un design moderne : mode clair/sombre, animations fluides (Flutter Animate), et une interface alignée sur les standards actuels de conception d'applications</w:t>
      </w:r>
    </w:p>
    <w:p>
      <w:pPr>
        <w:pStyle w:val="ListParagraph"/>
        <w:numPr>
          <w:ilvl w:val="0"/>
          <w:numId w:val="2"/>
        </w:numPr>
        <w:bidi w:val="false"/>
        <w:spacing w:after="80"/>
        <w:jc w:val="left"/>
      </w:pPr>
      <w:r>
        <w:rPr>
          <w:rFonts w:ascii="Calibri" w:cs="Calibri" w:eastAsia="Calibri" w:hAnsi="Calibri"/>
          <w:color w:val="222222"/>
          <w:sz w:val="22"/>
          <w:szCs w:val="22"/>
          <w:rtl w:val="false"/>
        </w:rPr>
        <w:t xml:space="preserve">L'expérience d'apprentissage la plus rapide possible avec une connexion limitée : une infrastructure de calcul en périphérie (edge computing) qui minimise la latence</w:t>
      </w:r>
    </w:p>
    <w:p>
      <w:pPr>
        <w:pStyle w:val="ListParagraph"/>
        <w:numPr>
          <w:ilvl w:val="0"/>
          <w:numId w:val="2"/>
        </w:numPr>
        <w:bidi w:val="false"/>
        <w:spacing w:after="80"/>
        <w:jc w:val="left"/>
      </w:pPr>
      <w:r>
        <w:rPr>
          <w:rFonts w:ascii="Calibri" w:cs="Calibri" w:eastAsia="Calibri" w:hAnsi="Calibri"/>
          <w:color w:val="222222"/>
          <w:sz w:val="22"/>
          <w:szCs w:val="22"/>
          <w:rtl w:val="false"/>
        </w:rPr>
        <w:t xml:space="preserve">Un développement actif allant bien au-delà du plan initial : 12 fonctionnalités entièrement nouvelles (Conseiller IA, Plan d'étude, Mémoire collective, gamification, voix IA, séminaires en direct, Academy, CMS avancé, RAG, gestion détaillée des élèves, vérification par e-mail et prise en charge de quatre langues) ont été progressivement ajoutées à la plateforme</w:t>
      </w:r>
    </w:p>
    <w:p>
      <w:pPr>
        <w:pStyle w:val="Heading2"/>
        <w:pBdr>
          <w:bottom w:val="single" w:color="6A1B9A" w:sz="6" w:space="4"/>
        </w:pBdr>
        <w:bidi w:val="false"/>
        <w:spacing w:after="160" w:before="320"/>
        <w:jc w:val="left"/>
      </w:pPr>
      <w:r>
        <w:rPr>
          <w:rFonts w:ascii="Calibri" w:cs="Calibri" w:eastAsia="Calibri" w:hAnsi="Calibri"/>
          <w:b/>
          <w:bCs/>
          <w:color w:val="4A0072"/>
          <w:sz w:val="30"/>
          <w:szCs w:val="30"/>
          <w:rtl w:val="false"/>
        </w:rPr>
        <w:t xml:space="preserve">Conclusion</w:t>
      </w:r>
    </w:p>
    <w:p>
      <w:pPr>
        <w:bidi w:val="false"/>
        <w:spacing w:after="120" w:before="0"/>
        <w:jc w:val="left"/>
      </w:pPr>
      <w:r>
        <w:rPr>
          <w:rFonts w:ascii="Calibri" w:cs="Calibri" w:eastAsia="Calibri" w:hAnsi="Calibri"/>
          <w:b w:val="false"/>
          <w:bCs w:val="false"/>
          <w:i w:val="false"/>
          <w:iCs w:val="false"/>
          <w:color w:val="222222"/>
          <w:sz w:val="22"/>
          <w:szCs w:val="22"/>
          <w:rtl w:val="false"/>
        </w:rPr>
        <w:t xml:space="preserve">L'École numérique des filles d'Afghanistan illustre comment la technologie moderne — de l'intelligence artificielle à l'infrastructure cloud mondiale — peut servir un objectif profondément humain : mettre une éducation de qualité à la portée de chaque fille qui en a besoin, quel que soit l'obstacle. Aujourd'hui, la plateforme n'est plus un prototype mais un système en production réelle, servant un trafic authentique sans aucune erreur.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2026-07-22T22:45:32.502Z</dcterms:created>
  <dcterms:modified xsi:type="dcterms:W3CDTF">2026-07-22T22:45:32.502Z</dcterms:modified>
</cp:coreProperties>
</file>

<file path=docProps/custom.xml><?xml version="1.0" encoding="utf-8"?>
<Properties xmlns="http://schemas.openxmlformats.org/officeDocument/2006/custom-properties" xmlns:vt="http://schemas.openxmlformats.org/officeDocument/2006/docPropsVTypes"/>
</file>