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00"/>
      </w:pPr>
    </w:p>
    <w:p>
      <w:pPr>
        <w:bidi w:val="false"/>
        <w:spacing w:after="170" w:before="0"/>
        <w:jc w:val="center"/>
      </w:pPr>
      <w:r>
        <w:rPr>
          <w:rFonts w:ascii="Calibri" w:cs="Calibri" w:eastAsia="Calibri" w:hAnsi="Calibri"/>
          <w:b/>
          <w:bCs/>
          <w:i w:val="false"/>
          <w:iCs w:val="false"/>
          <w:color w:val="1F1B16"/>
          <w:sz w:val="46"/>
          <w:szCs w:val="46"/>
        </w:rPr>
        <w:t xml:space="preserve">École numérique des filles d'Afghanistan</w:t>
      </w:r>
    </w:p>
    <w:p>
      <w:pPr>
        <w:bidi w:val="false"/>
        <w:spacing w:after="170" w:before="0"/>
        <w:jc w:val="center"/>
      </w:pPr>
      <w:r>
        <w:rPr>
          <w:rFonts w:ascii="Calibri" w:cs="Calibri" w:eastAsia="Calibri" w:hAnsi="Calibri"/>
          <w:b/>
          <w:bCs/>
          <w:i w:val="false"/>
          <w:iCs w:val="false"/>
          <w:color w:val="B08D57"/>
          <w:sz w:val="24"/>
          <w:szCs w:val="24"/>
        </w:rPr>
        <w:t xml:space="preserve">Profil complet du programme — Document de présentation pour les donateurs et organisations partenaires</w:t>
      </w:r>
    </w:p>
    <w:p>
      <w:pPr>
        <w:spacing w:before="500"/>
      </w:pPr>
    </w:p>
    <w:p>
      <w:pPr>
        <w:bidi w:val="false"/>
        <w:spacing w:after="170" w:before="0"/>
        <w:jc w:val="center"/>
      </w:pPr>
      <w:r>
        <w:rPr>
          <w:rFonts w:ascii="Calibri" w:cs="Calibri" w:eastAsia="Calibri" w:hAnsi="Calibri"/>
          <w:b w:val="false"/>
          <w:bCs w:val="false"/>
          <w:i/>
          <w:iCs/>
          <w:sz w:val="22"/>
          <w:szCs w:val="22"/>
        </w:rPr>
        <w:t xml:space="preserve">Quand la porte de l'école se ferme, nous refusons que la porte de l'avenir se ferme avec elle.</w:t>
      </w:r>
    </w:p>
    <w:p>
      <w:pPr>
        <w:spacing w:before="700"/>
      </w:pPr>
    </w:p>
    <w:p>
      <w:pPr>
        <w:bidi w:val="false"/>
        <w:spacing w:after="170" w:before="0"/>
        <w:jc w:val="center"/>
      </w:pPr>
      <w:r>
        <w:rPr>
          <w:rFonts w:ascii="Calibri" w:cs="Calibri" w:eastAsia="Calibri" w:hAnsi="Calibri"/>
          <w:b w:val="false"/>
          <w:bCs w:val="false"/>
          <w:i w:val="false"/>
          <w:iCs w:val="false"/>
          <w:sz w:val="20"/>
          <w:szCs w:val="20"/>
        </w:rPr>
        <w:t xml:space="preserve">25 juillet 2026</w:t>
      </w:r>
    </w:p>
    <w:p>
      <w:r>
        <w:br w:type="page"/>
      </w:r>
    </w:p>
    <w:p>
      <w:pPr>
        <w:pStyle w:val="Heading1"/>
        <w:pBdr>
          <w:bottom w:val="single" w:color="B08D57" w:sz="8" w:space="4"/>
        </w:pBdr>
        <w:bidi w:val="false"/>
        <w:spacing w:after="200" w:before="440"/>
        <w:jc w:val="left"/>
      </w:pPr>
      <w:r>
        <w:rPr>
          <w:rFonts w:ascii="Calibri" w:cs="Calibri" w:eastAsia="Calibri" w:hAnsi="Calibri"/>
          <w:b/>
          <w:bCs/>
          <w:color w:val="1F1B16"/>
          <w:sz w:val="32"/>
          <w:szCs w:val="32"/>
        </w:rPr>
        <w:t xml:space="preserve">Résumé exécutif</w:t>
      </w:r>
    </w:p>
    <w:p>
      <w:pPr>
        <w:bidi w:val="false"/>
        <w:spacing w:after="170" w:before="0"/>
        <w:jc w:val="left"/>
      </w:pPr>
      <w:r>
        <w:rPr>
          <w:rFonts w:ascii="Calibri" w:cs="Calibri" w:eastAsia="Calibri" w:hAnsi="Calibri"/>
          <w:b w:val="false"/>
          <w:bCs w:val="false"/>
          <w:i w:val="false"/>
          <w:iCs w:val="false"/>
          <w:sz w:val="22"/>
          <w:szCs w:val="22"/>
        </w:rPr>
        <w:t xml:space="preserve">L'École numérique des filles d'Afghanistan est une application mobile gratuite et sûre qui met à la portée de chaque fille afghane un programme scolaire officiel complet de la 7e à la 12e année, un professeur IA disponible à tout moment, des examens officiels et un suivi des progrès, des séminaires vidéo en direct, des certificats vérifiables, et un tableau de bord dédié aux parents — sans exiger de présence physique dans un lieu identifiable, et sans aucun coût pour la famille.</w:t>
      </w:r>
    </w:p>
    <w:p>
      <w:pPr>
        <w:bidi w:val="false"/>
        <w:spacing w:after="170" w:before="0"/>
        <w:jc w:val="left"/>
      </w:pPr>
      <w:r>
        <w:rPr>
          <w:rFonts w:ascii="Calibri" w:cs="Calibri" w:eastAsia="Calibri" w:hAnsi="Calibri"/>
          <w:b w:val="false"/>
          <w:bCs w:val="false"/>
          <w:i w:val="false"/>
          <w:iCs w:val="false"/>
          <w:sz w:val="22"/>
          <w:szCs w:val="22"/>
        </w:rPr>
        <w:t xml:space="preserve">Ce document poursuit deux objectifs : d'abord, présenter un tableau clair et documenté de la crise réelle de la privation d'éducation des filles afghanes ; ensuite, montrer précisément comment ce programme répond concrètement à cette crise — avec quels outils et quelles garanties techniques et sécuritaires — et pourquoi y investir constitue l'un des moyens les plus efficaces de soutenir l'avenir de l'Afghanistan.</w:t>
      </w:r>
    </w:p>
    <w:p>
      <w:pPr>
        <w:pStyle w:val="Heading1"/>
        <w:pBdr>
          <w:bottom w:val="single" w:color="B08D57" w:sz="8" w:space="4"/>
        </w:pBdr>
        <w:bidi w:val="false"/>
        <w:spacing w:after="200" w:before="440"/>
        <w:jc w:val="left"/>
      </w:pPr>
      <w:r>
        <w:rPr>
          <w:rFonts w:ascii="Calibri" w:cs="Calibri" w:eastAsia="Calibri" w:hAnsi="Calibri"/>
          <w:b/>
          <w:bCs/>
          <w:color w:val="1F1B16"/>
          <w:sz w:val="32"/>
          <w:szCs w:val="32"/>
        </w:rPr>
        <w:t xml:space="preserve">Partie I — La crise : une génération privée d'éducation</w:t>
      </w:r>
    </w:p>
    <w:p>
      <w:pPr>
        <w:pStyle w:val="Heading2"/>
        <w:bidi w:val="false"/>
        <w:spacing w:after="140" w:before="300"/>
        <w:jc w:val="left"/>
      </w:pPr>
      <w:r>
        <w:rPr>
          <w:rFonts w:ascii="Calibri" w:cs="Calibri" w:eastAsia="Calibri" w:hAnsi="Calibri"/>
          <w:b/>
          <w:bCs/>
          <w:color w:val="B08D57"/>
          <w:sz w:val="26"/>
          <w:szCs w:val="26"/>
        </w:rPr>
        <w:t xml:space="preserve">1.1 Vingt années de progrès aujourd'hui effacées</w:t>
      </w:r>
    </w:p>
    <w:p>
      <w:pPr>
        <w:bidi w:val="false"/>
        <w:spacing w:after="170" w:before="0"/>
        <w:jc w:val="left"/>
      </w:pPr>
      <w:r>
        <w:rPr>
          <w:rFonts w:ascii="Calibri" w:cs="Calibri" w:eastAsia="Calibri" w:hAnsi="Calibri"/>
          <w:b w:val="false"/>
          <w:bCs w:val="false"/>
          <w:i w:val="false"/>
          <w:iCs w:val="false"/>
          <w:sz w:val="22"/>
          <w:szCs w:val="22"/>
        </w:rPr>
        <w:t xml:space="preserve">Entre 2001 et 2021, grâce à l'effort coordonné de la communauté internationale mené par l'UNESCO, le nombre d'élèves en Afghanistan a été multiplié par dix. En 2001, pratiquement aucune fille n'était scolarisée ; en 2021, le taux de scolarisation des filles en âge d'aller à l'école primaire dépassait 80 %, et le taux d'alphabétisation des femmes avait presque doublé, passant de 17 % à près de 30 %. Ce résultat était le fruit de deux décennies d'investissement international.</w:t>
      </w:r>
    </w:p>
    <w:p>
      <w:pPr>
        <w:bidi w:val="false"/>
        <w:spacing w:after="170" w:before="0"/>
        <w:jc w:val="left"/>
      </w:pPr>
      <w:r>
        <w:rPr>
          <w:rFonts w:ascii="Calibri" w:cs="Calibri" w:eastAsia="Calibri" w:hAnsi="Calibri"/>
          <w:b w:val="false"/>
          <w:bCs w:val="false"/>
          <w:i w:val="false"/>
          <w:iCs w:val="false"/>
          <w:sz w:val="22"/>
          <w:szCs w:val="22"/>
        </w:rPr>
        <w:t xml:space="preserve">Depuis la prise de pouvoir des talibans le 15 août 2021, plus de 70 décrets violant les droits des femmes et des filles ont été promulgués — le plus lourd de conséquences étant l'interdiction totale de l'éducation des filles au-delà de la sixième année. Selon une déclaration officielle de la Directrice générale de l'UNESCO (août 2025), l'Afghanistan est aujourd'hui le seul pays au monde à interdire formellement et totalement l'enseignement secondaire et supérieur aux filles et aux femmes.</w:t>
      </w:r>
    </w:p>
    <w:p>
      <w:pPr>
        <w:pStyle w:val="Heading2"/>
        <w:bidi w:val="false"/>
        <w:spacing w:after="140" w:before="300"/>
        <w:jc w:val="left"/>
      </w:pPr>
      <w:r>
        <w:rPr>
          <w:rFonts w:ascii="Calibri" w:cs="Calibri" w:eastAsia="Calibri" w:hAnsi="Calibri"/>
          <w:b/>
          <w:bCs/>
          <w:color w:val="B08D57"/>
          <w:sz w:val="26"/>
          <w:szCs w:val="26"/>
        </w:rPr>
        <w:t xml:space="preserve">1.2 Les chiffres</w:t>
      </w:r>
    </w:p>
    <w:tbl>
      <w:tblPr>
        <w:tblW w:type="dxa" w:w="9500"/>
        <w:tblBorders>
          <w:top w:val="none"/>
          <w:left w:val="none"/>
          <w:bottom w:val="none"/>
          <w:right w:val="none"/>
          <w:insideH w:val="none"/>
          <w:insideV w:val="none"/>
        </w:tblBorders>
      </w:tblPr>
      <w:tblGrid>
        <w:gridCol w:w="3166"/>
        <w:gridCol w:w="3166"/>
        <w:gridCol w:w="3166"/>
      </w:tblGrid>
      <w:tr>
        <w:tc>
          <w:tcPr>
            <w:tcW w:type="dxa" w:w="3166"/>
            <w:shd w:fill="F5F0E6" w:val="clear"/>
            <w:tcMar>
              <w:top w:type="dxa" w:w="200"/>
              <w:left w:type="dxa" w:w="160"/>
              <w:bottom w:type="dxa" w:w="200"/>
              <w:right w:type="dxa" w:w="160"/>
            </w:tcMar>
          </w:tcPr>
          <w:p>
            <w:pPr>
              <w:bidi w:val="false"/>
              <w:jc w:val="center"/>
            </w:pPr>
            <w:r>
              <w:rPr>
                <w:rFonts w:ascii="Calibri" w:cs="Calibri" w:eastAsia="Calibri" w:hAnsi="Calibri"/>
                <w:b/>
                <w:bCs/>
                <w:color w:val="B08D57"/>
                <w:sz w:val="36"/>
                <w:szCs w:val="36"/>
              </w:rPr>
              <w:t xml:space="preserve">2,2 millions</w:t>
            </w:r>
          </w:p>
          <w:p>
            <w:pPr>
              <w:bidi w:val="false"/>
              <w:spacing w:before="60"/>
              <w:jc w:val="center"/>
            </w:pPr>
            <w:r>
              <w:rPr>
                <w:rFonts w:ascii="Calibri" w:cs="Calibri" w:eastAsia="Calibri" w:hAnsi="Calibri"/>
                <w:color w:val="1F1B16"/>
                <w:sz w:val="18"/>
                <w:szCs w:val="18"/>
              </w:rPr>
              <w:t xml:space="preserve">d'adolescentes exclues de l'enseignement secondaire (UNESCO, 2025)</w:t>
            </w:r>
          </w:p>
        </w:tc>
        <w:tc>
          <w:tcPr>
            <w:tcW w:type="dxa" w:w="3166"/>
            <w:shd w:fill="F5F0E6" w:val="clear"/>
            <w:tcMar>
              <w:top w:type="dxa" w:w="200"/>
              <w:left w:type="dxa" w:w="160"/>
              <w:bottom w:type="dxa" w:w="200"/>
              <w:right w:type="dxa" w:w="160"/>
            </w:tcMar>
          </w:tcPr>
          <w:p>
            <w:pPr>
              <w:bidi w:val="false"/>
              <w:jc w:val="center"/>
            </w:pPr>
            <w:r>
              <w:rPr>
                <w:rFonts w:ascii="Calibri" w:cs="Calibri" w:eastAsia="Calibri" w:hAnsi="Calibri"/>
                <w:b/>
                <w:bCs/>
                <w:color w:val="B08D57"/>
                <w:sz w:val="36"/>
                <w:szCs w:val="36"/>
              </w:rPr>
              <w:t xml:space="preserve">3,7 millions</w:t>
            </w:r>
          </w:p>
          <w:p>
            <w:pPr>
              <w:bidi w:val="false"/>
              <w:spacing w:before="60"/>
              <w:jc w:val="center"/>
            </w:pPr>
            <w:r>
              <w:rPr>
                <w:rFonts w:ascii="Calibri" w:cs="Calibri" w:eastAsia="Calibri" w:hAnsi="Calibri"/>
                <w:color w:val="1F1B16"/>
                <w:sz w:val="18"/>
                <w:szCs w:val="18"/>
              </w:rPr>
              <w:t xml:space="preserve">d'enfants afghans non scolarisés — environ 60 % de filles</w:t>
            </w:r>
          </w:p>
        </w:tc>
        <w:tc>
          <w:tcPr>
            <w:tcW w:type="dxa" w:w="3166"/>
            <w:shd w:fill="F5F0E6" w:val="clear"/>
            <w:tcMar>
              <w:top w:type="dxa" w:w="200"/>
              <w:left w:type="dxa" w:w="160"/>
              <w:bottom w:type="dxa" w:w="200"/>
              <w:right w:type="dxa" w:w="160"/>
            </w:tcMar>
          </w:tcPr>
          <w:p>
            <w:pPr>
              <w:bidi w:val="false"/>
              <w:jc w:val="center"/>
            </w:pPr>
            <w:r>
              <w:rPr>
                <w:rFonts w:ascii="Calibri" w:cs="Calibri" w:eastAsia="Calibri" w:hAnsi="Calibri"/>
                <w:b/>
                <w:bCs/>
                <w:color w:val="B08D57"/>
                <w:sz w:val="36"/>
                <w:szCs w:val="36"/>
              </w:rPr>
              <w:t xml:space="preserve">+ de 100 000</w:t>
            </w:r>
          </w:p>
          <w:p>
            <w:pPr>
              <w:bidi w:val="false"/>
              <w:spacing w:before="60"/>
              <w:jc w:val="center"/>
            </w:pPr>
            <w:r>
              <w:rPr>
                <w:rFonts w:ascii="Calibri" w:cs="Calibri" w:eastAsia="Calibri" w:hAnsi="Calibri"/>
                <w:color w:val="1F1B16"/>
                <w:sz w:val="18"/>
                <w:szCs w:val="18"/>
              </w:rPr>
              <w:t xml:space="preserve">jeunes femmes privées d'accès à l'université (depuis déc. 2022)</w:t>
            </w:r>
          </w:p>
        </w:tc>
      </w:tr>
    </w:tbl>
    <w:p>
      <w:pPr>
        <w:bidi w:val="false"/>
        <w:spacing w:after="170" w:before="0"/>
        <w:jc w:val="left"/>
      </w:pPr>
      <w:r>
        <w:rPr>
          <w:rFonts w:ascii="Calibri" w:cs="Calibri" w:eastAsia="Calibri" w:hAnsi="Calibri"/>
          <w:b w:val="false"/>
          <w:bCs w:val="false"/>
          <w:i w:val="false"/>
          <w:iCs w:val="false"/>
          <w:sz w:val="22"/>
          <w:szCs w:val="22"/>
        </w:rPr>
        <w:t xml:space="preserve">Ces chiffres ne sont pas figés. Selon les agences de l'ONU, si l'interdiction se poursuit, plus de 2 millions de filles supplémentaires seront privées de leur droit à l'éducation au-delà du primaire d'ici 2030 — ce qui signifie que chaque jour qui passe, un nombre croissant de filles perd cette opportunité de façon définitive.</w:t>
      </w:r>
    </w:p>
    <w:p>
      <w:pPr>
        <w:pStyle w:val="Heading2"/>
        <w:bidi w:val="false"/>
        <w:spacing w:after="140" w:before="300"/>
        <w:jc w:val="left"/>
      </w:pPr>
      <w:r>
        <w:rPr>
          <w:rFonts w:ascii="Calibri" w:cs="Calibri" w:eastAsia="Calibri" w:hAnsi="Calibri"/>
          <w:b/>
          <w:bCs/>
          <w:color w:val="B08D57"/>
          <w:sz w:val="26"/>
          <w:szCs w:val="26"/>
        </w:rPr>
        <w:t xml:space="preserve">1.3 Le coût humain et économique</w:t>
      </w:r>
    </w:p>
    <w:p>
      <w:pPr>
        <w:pStyle w:val="ListParagraph"/>
        <w:numPr>
          <w:ilvl w:val="0"/>
          <w:numId w:val="2"/>
        </w:numPr>
        <w:bidi w:val="false"/>
        <w:spacing w:after="90"/>
        <w:jc w:val="left"/>
      </w:pPr>
      <w:r>
        <w:rPr>
          <w:rFonts w:ascii="Calibri" w:cs="Calibri" w:eastAsia="Calibri" w:hAnsi="Calibri"/>
          <w:sz w:val="21"/>
          <w:szCs w:val="21"/>
        </w:rPr>
        <w:t xml:space="preserve">Selon le rapport « Le coût de l'inaction » (UNICEF Innocenti, avril 2026), ces restrictions ont déjà entraîné une baisse estimée à 0,5 % du PIB afghan et coûtent au pays 84 millions de dollars par an en pertes économiques directes — une perte qui s'aggrave chaque année.</w:t>
      </w:r>
    </w:p>
    <w:p>
      <w:pPr>
        <w:pStyle w:val="ListParagraph"/>
        <w:numPr>
          <w:ilvl w:val="0"/>
          <w:numId w:val="2"/>
        </w:numPr>
        <w:bidi w:val="false"/>
        <w:spacing w:after="90"/>
        <w:jc w:val="left"/>
      </w:pPr>
      <w:r>
        <w:rPr>
          <w:rFonts w:ascii="Calibri" w:cs="Calibri" w:eastAsia="Calibri" w:hAnsi="Calibri"/>
          <w:sz w:val="21"/>
          <w:szCs w:val="21"/>
        </w:rPr>
        <w:t xml:space="preserve">D'ici 2030, l'Afghanistan risque de perdre jusqu'à 20 000 enseignantes et 5 400 professionnelles de la santé — précisément les personnes dont dépendront demain l'éducation et la santé des filles.</w:t>
      </w:r>
    </w:p>
    <w:p>
      <w:pPr>
        <w:pStyle w:val="ListParagraph"/>
        <w:numPr>
          <w:ilvl w:val="0"/>
          <w:numId w:val="2"/>
        </w:numPr>
        <w:bidi w:val="false"/>
        <w:spacing w:after="90"/>
        <w:jc w:val="left"/>
      </w:pPr>
      <w:r>
        <w:rPr>
          <w:rFonts w:ascii="Calibri" w:cs="Calibri" w:eastAsia="Calibri" w:hAnsi="Calibri"/>
          <w:sz w:val="21"/>
          <w:szCs w:val="21"/>
        </w:rPr>
        <w:t xml:space="preserve">Au cours des 35 prochaines années, on estime que 600 000 femmes qualifiées quitteront le marché du travail afghan.</w:t>
      </w:r>
    </w:p>
    <w:p>
      <w:pPr>
        <w:pStyle w:val="ListParagraph"/>
        <w:numPr>
          <w:ilvl w:val="0"/>
          <w:numId w:val="2"/>
        </w:numPr>
        <w:bidi w:val="false"/>
        <w:spacing w:after="90"/>
        <w:jc w:val="left"/>
      </w:pPr>
      <w:r>
        <w:rPr>
          <w:rFonts w:ascii="Calibri" w:cs="Calibri" w:eastAsia="Calibri" w:hAnsi="Calibri"/>
          <w:sz w:val="21"/>
          <w:szCs w:val="21"/>
        </w:rPr>
        <w:t xml:space="preserve">La privation d'éducation expose les filles à un risque accru de mariage précoce, d'isolement social et de détresse psychologique — et sans intervention, ce cycle enferme aussi la génération suivante.</w:t>
      </w:r>
    </w:p>
    <w:p>
      <w:pPr>
        <w:pStyle w:val="ListParagraph"/>
        <w:numPr>
          <w:ilvl w:val="0"/>
          <w:numId w:val="2"/>
        </w:numPr>
        <w:bidi w:val="false"/>
        <w:spacing w:after="90"/>
        <w:jc w:val="left"/>
      </w:pPr>
      <w:r>
        <w:rPr>
          <w:rFonts w:ascii="Calibri" w:cs="Calibri" w:eastAsia="Calibri" w:hAnsi="Calibri"/>
          <w:sz w:val="21"/>
          <w:szCs w:val="21"/>
        </w:rPr>
        <w:t xml:space="preserve">Même sous ces restrictions, 25,5 % de la population afghane (plus de 11,3 millions de personnes) a déjà accès à Internet, et plus de la moitié de la population a accès à un téléphone mobile (DataReportal, 2026) — ce qui signifie qu'un canal numérique, basé sur le téléphone, est déjà largement accessible aux familles afghanes, contrairement à une école physique.</w:t>
      </w:r>
    </w:p>
    <w:p>
      <w:pPr>
        <w:pStyle w:val="Heading1"/>
        <w:pBdr>
          <w:bottom w:val="single" w:color="B08D57" w:sz="8" w:space="4"/>
        </w:pBdr>
        <w:bidi w:val="false"/>
        <w:spacing w:after="200" w:before="440"/>
        <w:jc w:val="left"/>
      </w:pPr>
      <w:r>
        <w:rPr>
          <w:rFonts w:ascii="Calibri" w:cs="Calibri" w:eastAsia="Calibri" w:hAnsi="Calibri"/>
          <w:b/>
          <w:bCs/>
          <w:color w:val="1F1B16"/>
          <w:sz w:val="32"/>
          <w:szCs w:val="32"/>
        </w:rPr>
        <w:t xml:space="preserve">Partie II — Pourquoi cette application : combler un vide réel</w:t>
      </w:r>
    </w:p>
    <w:p>
      <w:pPr>
        <w:bidi w:val="false"/>
        <w:spacing w:after="170" w:before="0"/>
        <w:jc w:val="left"/>
      </w:pPr>
      <w:r>
        <w:rPr>
          <w:rFonts w:ascii="Calibri" w:cs="Calibri" w:eastAsia="Calibri" w:hAnsi="Calibri"/>
          <w:b w:val="false"/>
          <w:bCs w:val="false"/>
          <w:i w:val="false"/>
          <w:iCs w:val="false"/>
          <w:sz w:val="22"/>
          <w:szCs w:val="22"/>
        </w:rPr>
        <w:t xml:space="preserve">D'autres initiatives précieuses existent — cours d'alphabétisation communautaires, programmes radio, plateformes basées sur WhatsApp (comme SOLAx), soutenues par l'UNESCO. Mais celles-ci relèvent principalement de l'alphabétisation de base, restent largement unidirectionnelles (diffusion plutôt que véritable interaction), et ne couvrent pas l'intégralité du programme officiel des classes supérieures (de la 7e à la 12e année).</w:t>
      </w:r>
    </w:p>
    <w:p>
      <w:pPr>
        <w:bidi w:val="false"/>
        <w:spacing w:after="170" w:before="0"/>
        <w:jc w:val="left"/>
      </w:pPr>
      <w:r>
        <w:rPr>
          <w:rFonts w:ascii="Calibri" w:cs="Calibri" w:eastAsia="Calibri" w:hAnsi="Calibri"/>
          <w:b w:val="false"/>
          <w:bCs w:val="false"/>
          <w:i w:val="false"/>
          <w:iCs w:val="false"/>
          <w:sz w:val="22"/>
          <w:szCs w:val="22"/>
        </w:rPr>
        <w:t xml:space="preserve">L'École numérique des filles d'Afghanistan comble précisément ce vide : une école numérique complète, et non une simple ressource d'appoint. Avec un programme officiel complet, un professeur IA interactif, de véritables examens, des séminaires vidéo en direct et bidirectionnels, et des certificats vérifiables — le tout via une application utilisable en privé à la maison, sans attirer l'attention, sur le téléphone que la famille possède déjà.</w:t>
      </w:r>
    </w:p>
    <w:p>
      <w:pPr>
        <w:pStyle w:val="Heading1"/>
        <w:pBdr>
          <w:bottom w:val="single" w:color="B08D57" w:sz="8" w:space="4"/>
        </w:pBdr>
        <w:bidi w:val="false"/>
        <w:spacing w:after="200" w:before="440"/>
        <w:jc w:val="left"/>
      </w:pPr>
      <w:r>
        <w:rPr>
          <w:rFonts w:ascii="Calibri" w:cs="Calibri" w:eastAsia="Calibri" w:hAnsi="Calibri"/>
          <w:b/>
          <w:bCs/>
          <w:color w:val="1F1B16"/>
          <w:sz w:val="32"/>
          <w:szCs w:val="32"/>
        </w:rPr>
        <w:t xml:space="preserve">Partie III — Points forts du programme</w:t>
      </w:r>
    </w:p>
    <w:p>
      <w:pPr>
        <w:pStyle w:val="Heading3"/>
        <w:bidi w:val="false"/>
        <w:spacing w:after="100" w:before="220"/>
        <w:jc w:val="left"/>
      </w:pPr>
      <w:r>
        <w:rPr>
          <w:rFonts w:ascii="Calibri" w:cs="Calibri" w:eastAsia="Calibri" w:hAnsi="Calibri"/>
          <w:b/>
          <w:bCs/>
          <w:color w:val="1F1B16"/>
          <w:sz w:val="23"/>
          <w:szCs w:val="23"/>
        </w:rPr>
        <w:t xml:space="preserve">Conçu pour la réalité afghane, non pour un modèle générique</w:t>
      </w:r>
    </w:p>
    <w:p>
      <w:pPr>
        <w:pStyle w:val="ListParagraph"/>
        <w:numPr>
          <w:ilvl w:val="0"/>
          <w:numId w:val="2"/>
        </w:numPr>
        <w:bidi w:val="false"/>
        <w:spacing w:after="90"/>
        <w:jc w:val="left"/>
      </w:pPr>
      <w:r>
        <w:rPr>
          <w:rFonts w:ascii="Calibri" w:cs="Calibri" w:eastAsia="Calibri" w:hAnsi="Calibri"/>
          <w:sz w:val="21"/>
          <w:szCs w:val="21"/>
        </w:rPr>
        <w:t xml:space="preserve">Entièrement gratuit pour les élèves — le coût n'est jamais un obstacle à l'accès.</w:t>
      </w:r>
    </w:p>
    <w:p>
      <w:pPr>
        <w:pStyle w:val="ListParagraph"/>
        <w:numPr>
          <w:ilvl w:val="0"/>
          <w:numId w:val="2"/>
        </w:numPr>
        <w:bidi w:val="false"/>
        <w:spacing w:after="90"/>
        <w:jc w:val="left"/>
      </w:pPr>
      <w:r>
        <w:rPr>
          <w:rFonts w:ascii="Calibri" w:cs="Calibri" w:eastAsia="Calibri" w:hAnsi="Calibri"/>
          <w:sz w:val="21"/>
          <w:szCs w:val="21"/>
        </w:rPr>
        <w:t xml:space="preserve">Utilisable en privé à la maison, sans avoir à se rendre dans un lieu identifiable ni à se déplacer publiquement — une protection essentielle dans le contexte actuel de l'Afghanistan.</w:t>
      </w:r>
    </w:p>
    <w:p>
      <w:pPr>
        <w:pStyle w:val="ListParagraph"/>
        <w:numPr>
          <w:ilvl w:val="0"/>
          <w:numId w:val="2"/>
        </w:numPr>
        <w:bidi w:val="false"/>
        <w:spacing w:after="90"/>
        <w:jc w:val="left"/>
      </w:pPr>
      <w:r>
        <w:rPr>
          <w:rFonts w:ascii="Calibri" w:cs="Calibri" w:eastAsia="Calibri" w:hAnsi="Calibri"/>
          <w:sz w:val="21"/>
          <w:szCs w:val="21"/>
        </w:rPr>
        <w:t xml:space="preserve">Programme officiel complet de la 7e à la 12e année, généré et actualisé avec l'aide de l'IA, aligné sur les manuels scolaires officiels.</w:t>
      </w:r>
    </w:p>
    <w:p>
      <w:pPr>
        <w:pStyle w:val="ListParagraph"/>
        <w:numPr>
          <w:ilvl w:val="0"/>
          <w:numId w:val="2"/>
        </w:numPr>
        <w:bidi w:val="false"/>
        <w:spacing w:after="90"/>
        <w:jc w:val="left"/>
      </w:pPr>
      <w:r>
        <w:rPr>
          <w:rFonts w:ascii="Calibri" w:cs="Calibri" w:eastAsia="Calibri" w:hAnsi="Calibri"/>
          <w:sz w:val="21"/>
          <w:szCs w:val="21"/>
        </w:rPr>
        <w:t xml:space="preserve">Professeur IA interactif (texte et voix) en dari — répond à la question de chaque élève, à toute heure, sans nécessiter la présence d'un enseignant humain.</w:t>
      </w:r>
    </w:p>
    <w:p>
      <w:pPr>
        <w:pStyle w:val="ListParagraph"/>
        <w:numPr>
          <w:ilvl w:val="0"/>
          <w:numId w:val="2"/>
        </w:numPr>
        <w:bidi w:val="false"/>
        <w:spacing w:after="90"/>
        <w:jc w:val="left"/>
      </w:pPr>
      <w:r>
        <w:rPr>
          <w:rFonts w:ascii="Calibri" w:cs="Calibri" w:eastAsia="Calibri" w:hAnsi="Calibri"/>
          <w:sz w:val="21"/>
          <w:szCs w:val="21"/>
        </w:rPr>
        <w:t xml:space="preserve">Un véritable système d'évaluation : quiz de fin de chapitre et examen final officiel pluridisciplinaire avec correction assistée par IA, plus une « seconde chance » automatique après 15 jours — apprendre sans craindre un échec définitif.</w:t>
      </w:r>
    </w:p>
    <w:p>
      <w:pPr>
        <w:pStyle w:val="ListParagraph"/>
        <w:numPr>
          <w:ilvl w:val="0"/>
          <w:numId w:val="2"/>
        </w:numPr>
        <w:bidi w:val="false"/>
        <w:spacing w:after="90"/>
        <w:jc w:val="left"/>
      </w:pPr>
      <w:r>
        <w:rPr>
          <w:rFonts w:ascii="Calibri" w:cs="Calibri" w:eastAsia="Calibri" w:hAnsi="Calibri"/>
          <w:sz w:val="21"/>
          <w:szCs w:val="21"/>
        </w:rPr>
        <w:t xml:space="preserve">Certificats numériques vérifiables, signés cryptographiquement et authentifiables par QR code — une reconnaissance réelle de l'effort de l'élève, même en l'absence d'infrastructure éducative officielle.</w:t>
      </w:r>
    </w:p>
    <w:p>
      <w:pPr>
        <w:pStyle w:val="ListParagraph"/>
        <w:numPr>
          <w:ilvl w:val="0"/>
          <w:numId w:val="2"/>
        </w:numPr>
        <w:bidi w:val="false"/>
        <w:spacing w:after="90"/>
        <w:jc w:val="left"/>
      </w:pPr>
      <w:r>
        <w:rPr>
          <w:rFonts w:ascii="Calibri" w:cs="Calibri" w:eastAsia="Calibri" w:hAnsi="Calibri"/>
          <w:sz w:val="21"/>
          <w:szCs w:val="21"/>
        </w:rPr>
        <w:t xml:space="preserve">Séminaires vidéo en direct — préservant la dimension sociale et humaine de l'apprentissage ; les filles sont en contact, face à face (même à distance), avec un enseignant et entre elles, pas seulement seules devant un écran.</w:t>
      </w:r>
    </w:p>
    <w:p>
      <w:pPr>
        <w:pStyle w:val="ListParagraph"/>
        <w:numPr>
          <w:ilvl w:val="0"/>
          <w:numId w:val="2"/>
        </w:numPr>
        <w:bidi w:val="false"/>
        <w:spacing w:after="90"/>
        <w:jc w:val="left"/>
      </w:pPr>
      <w:r>
        <w:rPr>
          <w:rFonts w:ascii="Calibri" w:cs="Calibri" w:eastAsia="Calibri" w:hAnsi="Calibri"/>
          <w:sz w:val="21"/>
          <w:szCs w:val="21"/>
        </w:rPr>
        <w:t xml:space="preserve">Un tableau de bord parental dédié, montrant en toute transparence les résultats, certificats et progrès de chaque enfant — bâtissant la confiance familiale indispensable à la pérennité du programme dans un contexte où la décision familiale est déterminante.</w:t>
      </w:r>
    </w:p>
    <w:p>
      <w:pPr>
        <w:pStyle w:val="ListParagraph"/>
        <w:numPr>
          <w:ilvl w:val="0"/>
          <w:numId w:val="2"/>
        </w:numPr>
        <w:bidi w:val="false"/>
        <w:spacing w:after="90"/>
        <w:jc w:val="left"/>
      </w:pPr>
      <w:r>
        <w:rPr>
          <w:rFonts w:ascii="Calibri" w:cs="Calibri" w:eastAsia="Calibri" w:hAnsi="Calibri"/>
          <w:sz w:val="21"/>
          <w:szCs w:val="21"/>
        </w:rPr>
        <w:t xml:space="preserve">Un accompagnement psychosocial via un « conseiller IA », avec une supervision humaine pour les cas sensibles — reconnaissant que l'apprentissage ne peut être dissocié du bien-être mental.</w:t>
      </w:r>
    </w:p>
    <w:p>
      <w:pPr>
        <w:pStyle w:val="ListParagraph"/>
        <w:numPr>
          <w:ilvl w:val="0"/>
          <w:numId w:val="2"/>
        </w:numPr>
        <w:bidi w:val="false"/>
        <w:spacing w:after="90"/>
        <w:jc w:val="left"/>
      </w:pPr>
      <w:r>
        <w:rPr>
          <w:rFonts w:ascii="Calibri" w:cs="Calibri" w:eastAsia="Calibri" w:hAnsi="Calibri"/>
          <w:sz w:val="21"/>
          <w:szCs w:val="21"/>
        </w:rPr>
        <w:t xml:space="preserve">Une motivation entretenue par des points, des niveaux et de petites célébrations numériques — transformant l'apprentissage en une expérience dynamique et porteuse d'espoir plutôt qu'en une obligation austère.</w:t>
      </w:r>
    </w:p>
    <w:p>
      <w:pPr>
        <w:pStyle w:val="ListParagraph"/>
        <w:numPr>
          <w:ilvl w:val="0"/>
          <w:numId w:val="2"/>
        </w:numPr>
        <w:bidi w:val="false"/>
        <w:spacing w:after="90"/>
        <w:jc w:val="left"/>
      </w:pPr>
      <w:r>
        <w:rPr>
          <w:rFonts w:ascii="Calibri" w:cs="Calibri" w:eastAsia="Calibri" w:hAnsi="Calibri"/>
          <w:sz w:val="21"/>
          <w:szCs w:val="21"/>
        </w:rPr>
        <w:t xml:space="preserve">Une localisation complète en quatre langues (dari, pachto, anglais, français) — utilisable aussi bien par les filles à l'intérieur de l'Afghanistan que par la communauté afghane réfugiée ou de la diaspora.</w:t>
      </w:r>
    </w:p>
    <w:p>
      <w:pPr>
        <w:pStyle w:val="ListParagraph"/>
        <w:numPr>
          <w:ilvl w:val="0"/>
          <w:numId w:val="2"/>
        </w:numPr>
        <w:bidi w:val="false"/>
        <w:spacing w:after="90"/>
        <w:jc w:val="left"/>
      </w:pPr>
      <w:r>
        <w:rPr>
          <w:rFonts w:ascii="Calibri" w:cs="Calibri" w:eastAsia="Calibri" w:hAnsi="Calibri"/>
          <w:sz w:val="21"/>
          <w:szCs w:val="21"/>
        </w:rPr>
        <w:t xml:space="preserve">Une architecture technique à faible coût (infrastructure cloud sans serveur et IA à quota gratuit) — ce qui signifie que les fonds des donateurs servent réellement à étendre l'accès, et non à couvrir des frais d'infrastructure.</w:t>
      </w:r>
    </w:p>
    <w:p>
      <w:pPr>
        <w:pStyle w:val="ListParagraph"/>
        <w:numPr>
          <w:ilvl w:val="0"/>
          <w:numId w:val="2"/>
        </w:numPr>
        <w:bidi w:val="false"/>
        <w:spacing w:after="90"/>
        <w:jc w:val="left"/>
      </w:pPr>
      <w:r>
        <w:rPr>
          <w:rFonts w:ascii="Calibri" w:cs="Calibri" w:eastAsia="Calibri" w:hAnsi="Calibri"/>
          <w:sz w:val="21"/>
          <w:szCs w:val="21"/>
        </w:rPr>
        <w:t xml:space="preserve">Sécurité et confidentialité intégrées dès la conception : chiffrement des données sensibles, certificats signés cryptographiquement, journalisation inviolable de chaque opération sensible, et contrôle d'accès précis — car pour ces utilisatrices, une fuite de données n'est pas un simple « problème technique », c'est un danger réel.</w:t>
      </w:r>
    </w:p>
    <w:p>
      <w:pPr>
        <w:pStyle w:val="Heading1"/>
        <w:pBdr>
          <w:bottom w:val="single" w:color="B08D57" w:sz="8" w:space="4"/>
        </w:pBdr>
        <w:bidi w:val="false"/>
        <w:spacing w:after="200" w:before="440"/>
        <w:jc w:val="left"/>
      </w:pPr>
      <w:r>
        <w:rPr>
          <w:rFonts w:ascii="Calibri" w:cs="Calibri" w:eastAsia="Calibri" w:hAnsi="Calibri"/>
          <w:b/>
          <w:bCs/>
          <w:color w:val="1F1B16"/>
          <w:sz w:val="32"/>
          <w:szCs w:val="32"/>
        </w:rPr>
        <w:t xml:space="preserve">Partie IV — Présentation complète des fonctionnalités</w:t>
      </w:r>
    </w:p>
    <w:p>
      <w:pPr>
        <w:pStyle w:val="Heading2"/>
        <w:bidi w:val="false"/>
        <w:spacing w:after="140" w:before="300"/>
        <w:jc w:val="left"/>
      </w:pPr>
      <w:r>
        <w:rPr>
          <w:rFonts w:ascii="Calibri" w:cs="Calibri" w:eastAsia="Calibri" w:hAnsi="Calibri"/>
          <w:b/>
          <w:bCs/>
          <w:color w:val="B08D57"/>
          <w:sz w:val="26"/>
          <w:szCs w:val="26"/>
        </w:rPr>
        <w:t xml:space="preserve">4.1 Tableau de bord de l'élève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1B16" w:val="clear"/>
            <w:vAlign w:val="center"/>
          </w:tcPr>
          <w:p>
            <w:pPr>
              <w:bidi w:val="false"/>
              <w:jc w:val="left"/>
            </w:pPr>
            <w:r>
              <w:rPr>
                <w:rFonts w:ascii="Calibri" w:cs="Calibri" w:eastAsia="Calibri" w:hAnsi="Calibri"/>
                <w:b/>
                <w:bCs/>
                <w:color w:val="FFFFFF"/>
                <w:sz w:val="20"/>
                <w:szCs w:val="20"/>
              </w:rPr>
              <w:t xml:space="preserve">Section</w:t>
            </w:r>
          </w:p>
        </w:tc>
        <w:tc>
          <w:tcPr>
            <w:tcW w:type="dxa" w:w="6900"/>
            <w:shd w:fill="1F1B16" w:val="clear"/>
            <w:vAlign w:val="center"/>
          </w:tcPr>
          <w:p>
            <w:pPr>
              <w:bidi w:val="false"/>
              <w:jc w:val="left"/>
            </w:pPr>
            <w:r>
              <w:rPr>
                <w:rFonts w:ascii="Calibri" w:cs="Calibri" w:eastAsia="Calibri" w:hAnsi="Calibri"/>
                <w:b/>
                <w:bCs/>
                <w:color w:val="FFFFFF"/>
                <w:sz w:val="20"/>
                <w:szCs w:val="20"/>
              </w:rPr>
              <w:t xml:space="preserve">Description</w:t>
            </w:r>
          </w:p>
        </w:tc>
      </w:tr>
      <w:tr>
        <w:tc>
          <w:tcPr>
            <w:tcW w:type="dxa" w:w="2600"/>
            <w:vAlign w:val="center"/>
          </w:tcPr>
          <w:p>
            <w:pPr>
              <w:bidi w:val="false"/>
              <w:jc w:val="left"/>
            </w:pPr>
            <w:r>
              <w:rPr>
                <w:rFonts w:ascii="Calibri" w:cs="Calibri" w:eastAsia="Calibri" w:hAnsi="Calibri"/>
                <w:b/>
                <w:bCs/>
                <w:sz w:val="20"/>
                <w:szCs w:val="20"/>
              </w:rPr>
              <w:t xml:space="preserve">Carte des classes</w:t>
            </w:r>
          </w:p>
        </w:tc>
        <w:tc>
          <w:tcPr>
            <w:tcW w:type="dxa" w:w="6900"/>
            <w:vAlign w:val="center"/>
          </w:tcPr>
          <w:p>
            <w:pPr>
              <w:bidi w:val="false"/>
              <w:jc w:val="left"/>
            </w:pPr>
            <w:r>
              <w:rPr>
                <w:rFonts w:ascii="Calibri" w:cs="Calibri" w:eastAsia="Calibri" w:hAnsi="Calibri"/>
                <w:b w:val="false"/>
                <w:bCs w:val="false"/>
                <w:sz w:val="20"/>
                <w:szCs w:val="20"/>
              </w:rPr>
              <w:t xml:space="preserve">Affiche la classe actuelle de l'élève et le parcours vers la classe suivante, selon ses progrès réels.</w:t>
            </w:r>
          </w:p>
        </w:tc>
      </w:tr>
      <w:tr>
        <w:tc>
          <w:tcPr>
            <w:tcW w:type="dxa" w:w="2600"/>
            <w:shd w:fill="F5F0E6" w:val="clear"/>
            <w:vAlign w:val="center"/>
          </w:tcPr>
          <w:p>
            <w:pPr>
              <w:bidi w:val="false"/>
              <w:jc w:val="left"/>
            </w:pPr>
            <w:r>
              <w:rPr>
                <w:rFonts w:ascii="Calibri" w:cs="Calibri" w:eastAsia="Calibri" w:hAnsi="Calibri"/>
                <w:b/>
                <w:bCs/>
                <w:sz w:val="20"/>
                <w:szCs w:val="20"/>
              </w:rPr>
              <w:t xml:space="preserve">Programme et leçons</w:t>
            </w:r>
          </w:p>
        </w:tc>
        <w:tc>
          <w:tcPr>
            <w:tcW w:type="dxa" w:w="6900"/>
            <w:shd w:fill="F5F0E6" w:val="clear"/>
            <w:vAlign w:val="center"/>
          </w:tcPr>
          <w:p>
            <w:pPr>
              <w:bidi w:val="false"/>
              <w:jc w:val="left"/>
            </w:pPr>
            <w:r>
              <w:rPr>
                <w:rFonts w:ascii="Calibri" w:cs="Calibri" w:eastAsia="Calibri" w:hAnsi="Calibri"/>
                <w:b w:val="false"/>
                <w:bCs w:val="false"/>
                <w:sz w:val="20"/>
                <w:szCs w:val="20"/>
              </w:rPr>
              <w:t xml:space="preserve">Contenu complet pour chaque classe/matière, généré par IA et aligné sur le manuel scolaire officiel.</w:t>
            </w:r>
          </w:p>
        </w:tc>
      </w:tr>
      <w:tr>
        <w:tc>
          <w:tcPr>
            <w:tcW w:type="dxa" w:w="2600"/>
            <w:vAlign w:val="center"/>
          </w:tcPr>
          <w:p>
            <w:pPr>
              <w:bidi w:val="false"/>
              <w:jc w:val="left"/>
            </w:pPr>
            <w:r>
              <w:rPr>
                <w:rFonts w:ascii="Calibri" w:cs="Calibri" w:eastAsia="Calibri" w:hAnsi="Calibri"/>
                <w:b/>
                <w:bCs/>
                <w:sz w:val="20"/>
                <w:szCs w:val="20"/>
              </w:rPr>
              <w:t xml:space="preserve">Professeur IA</w:t>
            </w:r>
          </w:p>
        </w:tc>
        <w:tc>
          <w:tcPr>
            <w:tcW w:type="dxa" w:w="6900"/>
            <w:vAlign w:val="center"/>
          </w:tcPr>
          <w:p>
            <w:pPr>
              <w:bidi w:val="false"/>
              <w:jc w:val="left"/>
            </w:pPr>
            <w:r>
              <w:rPr>
                <w:rFonts w:ascii="Calibri" w:cs="Calibri" w:eastAsia="Calibri" w:hAnsi="Calibri"/>
                <w:b w:val="false"/>
                <w:bCs w:val="false"/>
                <w:sz w:val="20"/>
                <w:szCs w:val="20"/>
              </w:rPr>
              <w:t xml:space="preserve">Conversation textuelle et vocale, disponible en permanence, limitée au périmètre de la leçon en cours pour une concentration réelle.</w:t>
            </w:r>
          </w:p>
        </w:tc>
      </w:tr>
      <w:tr>
        <w:tc>
          <w:tcPr>
            <w:tcW w:type="dxa" w:w="2600"/>
            <w:shd w:fill="F5F0E6" w:val="clear"/>
            <w:vAlign w:val="center"/>
          </w:tcPr>
          <w:p>
            <w:pPr>
              <w:bidi w:val="false"/>
              <w:jc w:val="left"/>
            </w:pPr>
            <w:r>
              <w:rPr>
                <w:rFonts w:ascii="Calibri" w:cs="Calibri" w:eastAsia="Calibri" w:hAnsi="Calibri"/>
                <w:b/>
                <w:bCs/>
                <w:sz w:val="20"/>
                <w:szCs w:val="20"/>
              </w:rPr>
              <w:t xml:space="preserve">Quiz de chapitre</w:t>
            </w:r>
          </w:p>
        </w:tc>
        <w:tc>
          <w:tcPr>
            <w:tcW w:type="dxa" w:w="6900"/>
            <w:shd w:fill="F5F0E6" w:val="clear"/>
            <w:vAlign w:val="center"/>
          </w:tcPr>
          <w:p>
            <w:pPr>
              <w:bidi w:val="false"/>
              <w:jc w:val="left"/>
            </w:pPr>
            <w:r>
              <w:rPr>
                <w:rFonts w:ascii="Calibri" w:cs="Calibri" w:eastAsia="Calibri" w:hAnsi="Calibri"/>
                <w:b w:val="false"/>
                <w:bCs w:val="false"/>
                <w:sz w:val="20"/>
                <w:szCs w:val="20"/>
              </w:rPr>
              <w:t xml:space="preserve">Évaluation automatique à la fin de chaque chapitre, nécessaire pour débloquer le chapitre suivant.</w:t>
            </w:r>
          </w:p>
        </w:tc>
      </w:tr>
      <w:tr>
        <w:tc>
          <w:tcPr>
            <w:tcW w:type="dxa" w:w="2600"/>
            <w:vAlign w:val="center"/>
          </w:tcPr>
          <w:p>
            <w:pPr>
              <w:bidi w:val="false"/>
              <w:jc w:val="left"/>
            </w:pPr>
            <w:r>
              <w:rPr>
                <w:rFonts w:ascii="Calibri" w:cs="Calibri" w:eastAsia="Calibri" w:hAnsi="Calibri"/>
                <w:b/>
                <w:bCs/>
                <w:sz w:val="20"/>
                <w:szCs w:val="20"/>
              </w:rPr>
              <w:t xml:space="preserve">Examen final</w:t>
            </w:r>
          </w:p>
        </w:tc>
        <w:tc>
          <w:tcPr>
            <w:tcW w:type="dxa" w:w="6900"/>
            <w:vAlign w:val="center"/>
          </w:tcPr>
          <w:p>
            <w:pPr>
              <w:bidi w:val="false"/>
              <w:jc w:val="left"/>
            </w:pPr>
            <w:r>
              <w:rPr>
                <w:rFonts w:ascii="Calibri" w:cs="Calibri" w:eastAsia="Calibri" w:hAnsi="Calibri"/>
                <w:b w:val="false"/>
                <w:bCs w:val="false"/>
                <w:sz w:val="20"/>
                <w:szCs w:val="20"/>
              </w:rPr>
              <w:t xml:space="preserve">Examen officiel pluridisciplinaire en fin d'année — condition du passage en classe supérieure, avec une nouvelle tentative automatique après 15 jours en cas d'échec.</w:t>
            </w:r>
          </w:p>
        </w:tc>
      </w:tr>
      <w:tr>
        <w:tc>
          <w:tcPr>
            <w:tcW w:type="dxa" w:w="2600"/>
            <w:shd w:fill="F5F0E6" w:val="clear"/>
            <w:vAlign w:val="center"/>
          </w:tcPr>
          <w:p>
            <w:pPr>
              <w:bidi w:val="false"/>
              <w:jc w:val="left"/>
            </w:pPr>
            <w:r>
              <w:rPr>
                <w:rFonts w:ascii="Calibri" w:cs="Calibri" w:eastAsia="Calibri" w:hAnsi="Calibri"/>
                <w:b/>
                <w:bCs/>
                <w:sz w:val="20"/>
                <w:szCs w:val="20"/>
              </w:rPr>
              <w:t xml:space="preserve">Examens d'entraînement</w:t>
            </w:r>
          </w:p>
        </w:tc>
        <w:tc>
          <w:tcPr>
            <w:tcW w:type="dxa" w:w="6900"/>
            <w:shd w:fill="F5F0E6" w:val="clear"/>
            <w:vAlign w:val="center"/>
          </w:tcPr>
          <w:p>
            <w:pPr>
              <w:bidi w:val="false"/>
              <w:jc w:val="left"/>
            </w:pPr>
            <w:r>
              <w:rPr>
                <w:rFonts w:ascii="Calibri" w:cs="Calibri" w:eastAsia="Calibri" w:hAnsi="Calibri"/>
                <w:b w:val="false"/>
                <w:bCs w:val="false"/>
                <w:sz w:val="20"/>
                <w:szCs w:val="20"/>
              </w:rPr>
              <w:t xml:space="preserve">Examens d'entraînement supplémentaires avec correction des réponses rédigées assistée par IA.</w:t>
            </w:r>
          </w:p>
        </w:tc>
      </w:tr>
      <w:tr>
        <w:tc>
          <w:tcPr>
            <w:tcW w:type="dxa" w:w="2600"/>
            <w:vAlign w:val="center"/>
          </w:tcPr>
          <w:p>
            <w:pPr>
              <w:bidi w:val="false"/>
              <w:jc w:val="left"/>
            </w:pPr>
            <w:r>
              <w:rPr>
                <w:rFonts w:ascii="Calibri" w:cs="Calibri" w:eastAsia="Calibri" w:hAnsi="Calibri"/>
                <w:b/>
                <w:bCs/>
                <w:sz w:val="20"/>
                <w:szCs w:val="20"/>
              </w:rPr>
              <w:t xml:space="preserve">Devoirs papier intelligents</w:t>
            </w:r>
          </w:p>
        </w:tc>
        <w:tc>
          <w:tcPr>
            <w:tcW w:type="dxa" w:w="6900"/>
            <w:vAlign w:val="center"/>
          </w:tcPr>
          <w:p>
            <w:pPr>
              <w:bidi w:val="false"/>
              <w:jc w:val="left"/>
            </w:pPr>
            <w:r>
              <w:rPr>
                <w:rFonts w:ascii="Calibri" w:cs="Calibri" w:eastAsia="Calibri" w:hAnsi="Calibri"/>
                <w:b w:val="false"/>
                <w:bCs w:val="false"/>
                <w:sz w:val="20"/>
                <w:szCs w:val="20"/>
              </w:rPr>
              <w:t xml:space="preserve">L'élève photographie un devoir manuscrit ; l'IA le lit et le note.</w:t>
            </w:r>
          </w:p>
        </w:tc>
      </w:tr>
      <w:tr>
        <w:tc>
          <w:tcPr>
            <w:tcW w:type="dxa" w:w="2600"/>
            <w:shd w:fill="F5F0E6" w:val="clear"/>
            <w:vAlign w:val="center"/>
          </w:tcPr>
          <w:p>
            <w:pPr>
              <w:bidi w:val="false"/>
              <w:jc w:val="left"/>
            </w:pPr>
            <w:r>
              <w:rPr>
                <w:rFonts w:ascii="Calibri" w:cs="Calibri" w:eastAsia="Calibri" w:hAnsi="Calibri"/>
                <w:b/>
                <w:bCs/>
                <w:sz w:val="20"/>
                <w:szCs w:val="20"/>
              </w:rPr>
              <w:t xml:space="preserve">Bibliothèque</w:t>
            </w:r>
          </w:p>
        </w:tc>
        <w:tc>
          <w:tcPr>
            <w:tcW w:type="dxa" w:w="6900"/>
            <w:shd w:fill="F5F0E6" w:val="clear"/>
            <w:vAlign w:val="center"/>
          </w:tcPr>
          <w:p>
            <w:pPr>
              <w:bidi w:val="false"/>
              <w:jc w:val="left"/>
            </w:pPr>
            <w:r>
              <w:rPr>
                <w:rFonts w:ascii="Calibri" w:cs="Calibri" w:eastAsia="Calibri" w:hAnsi="Calibri"/>
                <w:b w:val="false"/>
                <w:bCs w:val="false"/>
                <w:sz w:val="20"/>
                <w:szCs w:val="20"/>
              </w:rPr>
              <w:t xml:space="preserve">Livres et supports de cours à consulter ou télécharger.</w:t>
            </w:r>
          </w:p>
        </w:tc>
      </w:tr>
      <w:tr>
        <w:tc>
          <w:tcPr>
            <w:tcW w:type="dxa" w:w="2600"/>
            <w:vAlign w:val="center"/>
          </w:tcPr>
          <w:p>
            <w:pPr>
              <w:bidi w:val="false"/>
              <w:jc w:val="left"/>
            </w:pPr>
            <w:r>
              <w:rPr>
                <w:rFonts w:ascii="Calibri" w:cs="Calibri" w:eastAsia="Calibri" w:hAnsi="Calibri"/>
                <w:b/>
                <w:bCs/>
                <w:sz w:val="20"/>
                <w:szCs w:val="20"/>
              </w:rPr>
              <w:t xml:space="preserve">Séminaires vidéo en direct</w:t>
            </w:r>
          </w:p>
        </w:tc>
        <w:tc>
          <w:tcPr>
            <w:tcW w:type="dxa" w:w="6900"/>
            <w:vAlign w:val="center"/>
          </w:tcPr>
          <w:p>
            <w:pPr>
              <w:bidi w:val="false"/>
              <w:jc w:val="left"/>
            </w:pPr>
            <w:r>
              <w:rPr>
                <w:rFonts w:ascii="Calibri" w:cs="Calibri" w:eastAsia="Calibri" w:hAnsi="Calibri"/>
                <w:b w:val="false"/>
                <w:bCs w:val="false"/>
                <w:sz w:val="20"/>
                <w:szCs w:val="20"/>
              </w:rPr>
              <w:t xml:space="preserve">Cours collectif en direct avec un enseignant — véritable visioconférence bidirectionnelle.</w:t>
            </w:r>
          </w:p>
        </w:tc>
      </w:tr>
      <w:tr>
        <w:tc>
          <w:tcPr>
            <w:tcW w:type="dxa" w:w="2600"/>
            <w:shd w:fill="F5F0E6" w:val="clear"/>
            <w:vAlign w:val="center"/>
          </w:tcPr>
          <w:p>
            <w:pPr>
              <w:bidi w:val="false"/>
              <w:jc w:val="left"/>
            </w:pPr>
            <w:r>
              <w:rPr>
                <w:rFonts w:ascii="Calibri" w:cs="Calibri" w:eastAsia="Calibri" w:hAnsi="Calibri"/>
                <w:b/>
                <w:bCs/>
                <w:sz w:val="20"/>
                <w:szCs w:val="20"/>
              </w:rPr>
              <w:t xml:space="preserve">Certificats</w:t>
            </w:r>
          </w:p>
        </w:tc>
        <w:tc>
          <w:tcPr>
            <w:tcW w:type="dxa" w:w="6900"/>
            <w:shd w:fill="F5F0E6" w:val="clear"/>
            <w:vAlign w:val="center"/>
          </w:tcPr>
          <w:p>
            <w:pPr>
              <w:bidi w:val="false"/>
              <w:jc w:val="left"/>
            </w:pPr>
            <w:r>
              <w:rPr>
                <w:rFonts w:ascii="Calibri" w:cs="Calibri" w:eastAsia="Calibri" w:hAnsi="Calibri"/>
                <w:b w:val="false"/>
                <w:bCs w:val="false"/>
                <w:sz w:val="20"/>
                <w:szCs w:val="20"/>
              </w:rPr>
              <w:t xml:space="preserve">Délivrés automatiquement en fin d'année, téléchargeables et vérifiables par QR code.</w:t>
            </w:r>
          </w:p>
        </w:tc>
      </w:tr>
      <w:tr>
        <w:tc>
          <w:tcPr>
            <w:tcW w:type="dxa" w:w="2600"/>
            <w:vAlign w:val="center"/>
          </w:tcPr>
          <w:p>
            <w:pPr>
              <w:bidi w:val="false"/>
              <w:jc w:val="left"/>
            </w:pPr>
            <w:r>
              <w:rPr>
                <w:rFonts w:ascii="Calibri" w:cs="Calibri" w:eastAsia="Calibri" w:hAnsi="Calibri"/>
                <w:b/>
                <w:bCs/>
                <w:sz w:val="20"/>
                <w:szCs w:val="20"/>
              </w:rPr>
              <w:t xml:space="preserve">Présence et points/niveaux</w:t>
            </w:r>
          </w:p>
        </w:tc>
        <w:tc>
          <w:tcPr>
            <w:tcW w:type="dxa" w:w="6900"/>
            <w:vAlign w:val="center"/>
          </w:tcPr>
          <w:p>
            <w:pPr>
              <w:bidi w:val="false"/>
              <w:jc w:val="left"/>
            </w:pPr>
            <w:r>
              <w:rPr>
                <w:rFonts w:ascii="Calibri" w:cs="Calibri" w:eastAsia="Calibri" w:hAnsi="Calibri"/>
                <w:b w:val="false"/>
                <w:bCs w:val="false"/>
                <w:sz w:val="20"/>
                <w:szCs w:val="20"/>
              </w:rPr>
              <w:t xml:space="preserve">Calculés automatiquement à partir de l'activité réelle — pas de saisie manuelle.</w:t>
            </w:r>
          </w:p>
        </w:tc>
      </w:tr>
      <w:tr>
        <w:tc>
          <w:tcPr>
            <w:tcW w:type="dxa" w:w="2600"/>
            <w:shd w:fill="F5F0E6" w:val="clear"/>
            <w:vAlign w:val="center"/>
          </w:tcPr>
          <w:p>
            <w:pPr>
              <w:bidi w:val="false"/>
              <w:jc w:val="left"/>
            </w:pPr>
            <w:r>
              <w:rPr>
                <w:rFonts w:ascii="Calibri" w:cs="Calibri" w:eastAsia="Calibri" w:hAnsi="Calibri"/>
                <w:b/>
                <w:bCs/>
                <w:sz w:val="20"/>
                <w:szCs w:val="20"/>
              </w:rPr>
              <w:t xml:space="preserve">Planning hebdomadaire</w:t>
            </w:r>
          </w:p>
        </w:tc>
        <w:tc>
          <w:tcPr>
            <w:tcW w:type="dxa" w:w="6900"/>
            <w:shd w:fill="F5F0E6" w:val="clear"/>
            <w:vAlign w:val="center"/>
          </w:tcPr>
          <w:p>
            <w:pPr>
              <w:bidi w:val="false"/>
              <w:jc w:val="left"/>
            </w:pPr>
            <w:r>
              <w:rPr>
                <w:rFonts w:ascii="Calibri" w:cs="Calibri" w:eastAsia="Calibri" w:hAnsi="Calibri"/>
                <w:b w:val="false"/>
                <w:bCs w:val="false"/>
                <w:sz w:val="20"/>
                <w:szCs w:val="20"/>
              </w:rPr>
              <w:t xml:space="preserve">Emploi du temps d'étude hebdomadaire personnalisé, généré par IA.</w:t>
            </w:r>
          </w:p>
        </w:tc>
      </w:tr>
      <w:tr>
        <w:tc>
          <w:tcPr>
            <w:tcW w:type="dxa" w:w="2600"/>
            <w:vAlign w:val="center"/>
          </w:tcPr>
          <w:p>
            <w:pPr>
              <w:bidi w:val="false"/>
              <w:jc w:val="left"/>
            </w:pPr>
            <w:r>
              <w:rPr>
                <w:rFonts w:ascii="Calibri" w:cs="Calibri" w:eastAsia="Calibri" w:hAnsi="Calibri"/>
                <w:b/>
                <w:bCs/>
                <w:sz w:val="20"/>
                <w:szCs w:val="20"/>
              </w:rPr>
              <w:t xml:space="preserve">Conseiller IA</w:t>
            </w:r>
          </w:p>
        </w:tc>
        <w:tc>
          <w:tcPr>
            <w:tcW w:type="dxa" w:w="6900"/>
            <w:vAlign w:val="center"/>
          </w:tcPr>
          <w:p>
            <w:pPr>
              <w:bidi w:val="false"/>
              <w:jc w:val="left"/>
            </w:pPr>
            <w:r>
              <w:rPr>
                <w:rFonts w:ascii="Calibri" w:cs="Calibri" w:eastAsia="Calibri" w:hAnsi="Calibri"/>
                <w:b w:val="false"/>
                <w:bCs w:val="false"/>
                <w:sz w:val="20"/>
                <w:szCs w:val="20"/>
              </w:rPr>
              <w:t xml:space="preserve">Soutien psychologique, social et familial, avec supervision humaine pour les cas sensibles.</w:t>
            </w:r>
          </w:p>
        </w:tc>
      </w:tr>
      <w:tr>
        <w:tc>
          <w:tcPr>
            <w:tcW w:type="dxa" w:w="2600"/>
            <w:shd w:fill="F5F0E6" w:val="clear"/>
            <w:vAlign w:val="center"/>
          </w:tcPr>
          <w:p>
            <w:pPr>
              <w:bidi w:val="false"/>
              <w:jc w:val="left"/>
            </w:pPr>
            <w:r>
              <w:rPr>
                <w:rFonts w:ascii="Calibri" w:cs="Calibri" w:eastAsia="Calibri" w:hAnsi="Calibri"/>
                <w:b/>
                <w:bCs/>
                <w:sz w:val="20"/>
                <w:szCs w:val="20"/>
              </w:rPr>
              <w:t xml:space="preserve">Mémoire collective</w:t>
            </w:r>
          </w:p>
        </w:tc>
        <w:tc>
          <w:tcPr>
            <w:tcW w:type="dxa" w:w="6900"/>
            <w:shd w:fill="F5F0E6" w:val="clear"/>
            <w:vAlign w:val="center"/>
          </w:tcPr>
          <w:p>
            <w:pPr>
              <w:bidi w:val="false"/>
              <w:jc w:val="left"/>
            </w:pPr>
            <w:r>
              <w:rPr>
                <w:rFonts w:ascii="Calibri" w:cs="Calibri" w:eastAsia="Calibri" w:hAnsi="Calibri"/>
                <w:b w:val="false"/>
                <w:bCs w:val="false"/>
                <w:sz w:val="20"/>
                <w:szCs w:val="20"/>
              </w:rPr>
              <w:t xml:space="preserve">Un espace de partage d'expériences et de récits avec les autres élèves.</w:t>
            </w:r>
          </w:p>
        </w:tc>
      </w:tr>
      <w:tr>
        <w:tc>
          <w:tcPr>
            <w:tcW w:type="dxa" w:w="2600"/>
            <w:vAlign w:val="center"/>
          </w:tcPr>
          <w:p>
            <w:pPr>
              <w:bidi w:val="false"/>
              <w:jc w:val="left"/>
            </w:pPr>
            <w:r>
              <w:rPr>
                <w:rFonts w:ascii="Calibri" w:cs="Calibri" w:eastAsia="Calibri" w:hAnsi="Calibri"/>
                <w:b/>
                <w:bCs/>
                <w:sz w:val="20"/>
                <w:szCs w:val="20"/>
              </w:rPr>
              <w:t xml:space="preserve">Messagerie et notifications</w:t>
            </w:r>
          </w:p>
        </w:tc>
        <w:tc>
          <w:tcPr>
            <w:tcW w:type="dxa" w:w="6900"/>
            <w:vAlign w:val="center"/>
          </w:tcPr>
          <w:p>
            <w:pPr>
              <w:bidi w:val="false"/>
              <w:jc w:val="left"/>
            </w:pPr>
            <w:r>
              <w:rPr>
                <w:rFonts w:ascii="Calibri" w:cs="Calibri" w:eastAsia="Calibri" w:hAnsi="Calibri"/>
                <w:b w:val="false"/>
                <w:bCs w:val="false"/>
                <w:sz w:val="20"/>
                <w:szCs w:val="20"/>
              </w:rPr>
              <w:t xml:space="preserve">Échanges avec les camarades de classe et l'administration ; alertes instantanées pour les résultats, nouveaux séminaires, etc.</w:t>
            </w:r>
          </w:p>
        </w:tc>
      </w:tr>
    </w:tbl>
    <w:p>
      <w:pPr>
        <w:pStyle w:val="Heading2"/>
        <w:bidi w:val="false"/>
        <w:spacing w:after="140" w:before="300"/>
        <w:jc w:val="left"/>
      </w:pPr>
      <w:r>
        <w:rPr>
          <w:rFonts w:ascii="Calibri" w:cs="Calibri" w:eastAsia="Calibri" w:hAnsi="Calibri"/>
          <w:b/>
          <w:bCs/>
          <w:color w:val="B08D57"/>
          <w:sz w:val="26"/>
          <w:szCs w:val="26"/>
        </w:rPr>
        <w:t xml:space="preserve">4.2 Tableau de bord des parents</w:t>
      </w:r>
    </w:p>
    <w:p>
      <w:pPr>
        <w:bidi w:val="false"/>
        <w:spacing w:after="170" w:before="0"/>
        <w:jc w:val="left"/>
      </w:pPr>
      <w:r>
        <w:rPr>
          <w:rFonts w:ascii="Calibri" w:cs="Calibri" w:eastAsia="Calibri" w:hAnsi="Calibri"/>
          <w:b w:val="false"/>
          <w:bCs w:val="false"/>
          <w:i w:val="false"/>
          <w:iCs w:val="false"/>
          <w:sz w:val="22"/>
          <w:szCs w:val="22"/>
        </w:rPr>
        <w:t xml:space="preserve">Un parent peut avoir plusieurs enfants inscrits à l'école ; chacun dispose d'une section entièrement distincte et transparente indiquant les résultats d'examens, les certificats, le pourcentage de progression par matière, la présence, et la participation réelle aux séminaires — toujours à jour et exacte. Cette transparence bâtit la confiance familiale indispensable au succès du programme dans le contexte culturel afghan.</w:t>
      </w:r>
    </w:p>
    <w:p>
      <w:pPr>
        <w:pStyle w:val="Heading2"/>
        <w:bidi w:val="false"/>
        <w:spacing w:after="140" w:before="300"/>
        <w:jc w:val="left"/>
      </w:pPr>
      <w:r>
        <w:rPr>
          <w:rFonts w:ascii="Calibri" w:cs="Calibri" w:eastAsia="Calibri" w:hAnsi="Calibri"/>
          <w:b/>
          <w:bCs/>
          <w:color w:val="B08D57"/>
          <w:sz w:val="26"/>
          <w:szCs w:val="26"/>
        </w:rPr>
        <w:t xml:space="preserve">4.3 Panneau de l'enseignant-animateur de séminaires</w:t>
      </w:r>
    </w:p>
    <w:p>
      <w:pPr>
        <w:bidi w:val="false"/>
        <w:spacing w:after="170" w:before="0"/>
        <w:jc w:val="left"/>
      </w:pPr>
      <w:r>
        <w:rPr>
          <w:rFonts w:ascii="Calibri" w:cs="Calibri" w:eastAsia="Calibri" w:hAnsi="Calibri"/>
          <w:b w:val="false"/>
          <w:bCs w:val="false"/>
          <w:i w:val="false"/>
          <w:iCs w:val="false"/>
          <w:sz w:val="22"/>
          <w:szCs w:val="22"/>
        </w:rPr>
        <w:t xml:space="preserve">Les enseignants peuvent créer des séminaires, les programmer, démarrer et terminer les sessions, et consulter la liste des inscrits — via une véritable salle de visioconférence authentifiée (et non un simple lien public incontrôlable).</w:t>
      </w:r>
    </w:p>
    <w:p>
      <w:pPr>
        <w:pStyle w:val="Heading2"/>
        <w:bidi w:val="false"/>
        <w:spacing w:after="140" w:before="300"/>
        <w:jc w:val="left"/>
      </w:pPr>
      <w:r>
        <w:rPr>
          <w:rFonts w:ascii="Calibri" w:cs="Calibri" w:eastAsia="Calibri" w:hAnsi="Calibri"/>
          <w:b/>
          <w:bCs/>
          <w:color w:val="B08D57"/>
          <w:sz w:val="26"/>
          <w:szCs w:val="26"/>
        </w:rPr>
        <w:t xml:space="preserve">4.4 Panneau d'administration</w:t>
      </w:r>
    </w:p>
    <w:p>
      <w:pPr>
        <w:pStyle w:val="ListParagraph"/>
        <w:numPr>
          <w:ilvl w:val="0"/>
          <w:numId w:val="2"/>
        </w:numPr>
        <w:bidi w:val="false"/>
        <w:spacing w:after="90"/>
        <w:jc w:val="left"/>
      </w:pPr>
      <w:r>
        <w:rPr>
          <w:rFonts w:ascii="Calibri" w:cs="Calibri" w:eastAsia="Calibri" w:hAnsi="Calibri"/>
          <w:sz w:val="21"/>
          <w:szCs w:val="21"/>
        </w:rPr>
        <w:t xml:space="preserve">Gestion complète des utilisateurs (élèves, parents, enseignants), codes d'invitation, et liaison parent-enfant.</w:t>
      </w:r>
    </w:p>
    <w:p>
      <w:pPr>
        <w:pStyle w:val="ListParagraph"/>
        <w:numPr>
          <w:ilvl w:val="0"/>
          <w:numId w:val="2"/>
        </w:numPr>
        <w:bidi w:val="false"/>
        <w:spacing w:after="90"/>
        <w:jc w:val="left"/>
      </w:pPr>
      <w:r>
        <w:rPr>
          <w:rFonts w:ascii="Calibri" w:cs="Calibri" w:eastAsia="Calibri" w:hAnsi="Calibri"/>
          <w:sz w:val="21"/>
          <w:szCs w:val="21"/>
        </w:rPr>
        <w:t xml:space="preserve">Gestion du contenu pédagogique (création/modification de leçons, import en masse, génération assistée par IA).</w:t>
      </w:r>
    </w:p>
    <w:p>
      <w:pPr>
        <w:pStyle w:val="ListParagraph"/>
        <w:numPr>
          <w:ilvl w:val="0"/>
          <w:numId w:val="2"/>
        </w:numPr>
        <w:bidi w:val="false"/>
        <w:spacing w:after="90"/>
        <w:jc w:val="left"/>
      </w:pPr>
      <w:r>
        <w:rPr>
          <w:rFonts w:ascii="Calibri" w:cs="Calibri" w:eastAsia="Calibri" w:hAnsi="Calibri"/>
          <w:sz w:val="21"/>
          <w:szCs w:val="21"/>
        </w:rPr>
        <w:t xml:space="preserve">Gestion des examens officiels (création, publication, génération de questions par IA, consultation des résultats).</w:t>
      </w:r>
    </w:p>
    <w:p>
      <w:pPr>
        <w:pStyle w:val="ListParagraph"/>
        <w:numPr>
          <w:ilvl w:val="0"/>
          <w:numId w:val="2"/>
        </w:numPr>
        <w:bidi w:val="false"/>
        <w:spacing w:after="90"/>
        <w:jc w:val="left"/>
      </w:pPr>
      <w:r>
        <w:rPr>
          <w:rFonts w:ascii="Calibri" w:cs="Calibri" w:eastAsia="Calibri" w:hAnsi="Calibri"/>
          <w:sz w:val="21"/>
          <w:szCs w:val="21"/>
        </w:rPr>
        <w:t xml:space="preserve">Une file de sécurité — examen des conversations sensibles du conseiller IA/de la messagerie pour une protection réelle des utilisatrices.</w:t>
      </w:r>
    </w:p>
    <w:p>
      <w:pPr>
        <w:pStyle w:val="ListParagraph"/>
        <w:numPr>
          <w:ilvl w:val="0"/>
          <w:numId w:val="2"/>
        </w:numPr>
        <w:bidi w:val="false"/>
        <w:spacing w:after="90"/>
        <w:jc w:val="left"/>
      </w:pPr>
      <w:r>
        <w:rPr>
          <w:rFonts w:ascii="Calibri" w:cs="Calibri" w:eastAsia="Calibri" w:hAnsi="Calibri"/>
          <w:sz w:val="21"/>
          <w:szCs w:val="21"/>
        </w:rPr>
        <w:t xml:space="preserve">Rapports analytiques et journal d'audit inviolable pour une responsabilité totale.</w:t>
      </w:r>
    </w:p>
    <w:p>
      <w:pPr>
        <w:pStyle w:val="Heading1"/>
        <w:pBdr>
          <w:bottom w:val="single" w:color="B08D57" w:sz="8" w:space="4"/>
        </w:pBdr>
        <w:bidi w:val="false"/>
        <w:spacing w:after="200" w:before="440"/>
        <w:jc w:val="left"/>
      </w:pPr>
      <w:r>
        <w:rPr>
          <w:rFonts w:ascii="Calibri" w:cs="Calibri" w:eastAsia="Calibri" w:hAnsi="Calibri"/>
          <w:b/>
          <w:bCs/>
          <w:color w:val="1F1B16"/>
          <w:sz w:val="32"/>
          <w:szCs w:val="32"/>
        </w:rPr>
        <w:t xml:space="preserve">Partie V — Impact et appel au soutien</w:t>
      </w:r>
    </w:p>
    <w:p>
      <w:pPr>
        <w:bidi w:val="false"/>
        <w:spacing w:after="170" w:before="0"/>
        <w:jc w:val="left"/>
      </w:pPr>
      <w:r>
        <w:rPr>
          <w:rFonts w:ascii="Calibri" w:cs="Calibri" w:eastAsia="Calibri" w:hAnsi="Calibri"/>
          <w:b w:val="false"/>
          <w:bCs w:val="false"/>
          <w:i w:val="false"/>
          <w:iCs w:val="false"/>
          <w:sz w:val="22"/>
          <w:szCs w:val="22"/>
        </w:rPr>
        <w:t xml:space="preserve">Chaque contribution se traduit directement par un accès élargi : couverture des coûts d'infrastructure IA pour davantage d'élèves, extension de la capacité des séminaires vidéo en direct, traduction du contenu dans davantage de langues, et développement de nouvelles fonctionnalités telles que l'examen détaillé des résultats aux examens. Grâce à l'architecture à faible coût du programme, même un soutien modeste a un effet démultiplié sur le nombre de filles qui accèdent réellement à l'éducation.</w:t>
      </w:r>
    </w:p>
    <w:p>
      <w:pPr>
        <w:bidi w:val="false"/>
        <w:spacing w:after="170" w:before="0"/>
        <w:jc w:val="left"/>
      </w:pPr>
      <w:r>
        <w:rPr>
          <w:rFonts w:ascii="Calibri" w:cs="Calibri" w:eastAsia="Calibri" w:hAnsi="Calibri"/>
          <w:b w:val="false"/>
          <w:bCs w:val="false"/>
          <w:i w:val="false"/>
          <w:iCs w:val="false"/>
          <w:sz w:val="22"/>
          <w:szCs w:val="22"/>
        </w:rPr>
        <w:t xml:space="preserve">Dans un monde où l'Afghanistan est le seul pays à priver formellement les filles d'éducation, ce programme prouve qu'il existe un moyen réel et fonctionnel de contourner cette privation — non pas une promesse, mais une application qui, dès aujourd'hui, enseigne aux filles afghanes, entre leurs propres mains.</w:t>
      </w:r>
    </w:p>
    <w:p>
      <w:pPr>
        <w:pStyle w:val="Heading1"/>
        <w:pBdr>
          <w:bottom w:val="single" w:color="B08D57" w:sz="8" w:space="4"/>
        </w:pBdr>
        <w:bidi w:val="false"/>
        <w:spacing w:after="200" w:before="440"/>
        <w:jc w:val="left"/>
      </w:pPr>
      <w:r>
        <w:rPr>
          <w:rFonts w:ascii="Calibri" w:cs="Calibri" w:eastAsia="Calibri" w:hAnsi="Calibri"/>
          <w:b/>
          <w:bCs/>
          <w:color w:val="1F1B16"/>
          <w:sz w:val="32"/>
          <w:szCs w:val="32"/>
        </w:rPr>
        <w:t xml:space="preserve">Sources</w:t>
      </w:r>
    </w:p>
    <w:p>
      <w:pPr>
        <w:pStyle w:val="ListParagraph"/>
        <w:numPr>
          <w:ilvl w:val="0"/>
          <w:numId w:val="2"/>
        </w:numPr>
        <w:bidi w:val="false"/>
        <w:spacing w:after="90"/>
        <w:jc w:val="left"/>
      </w:pPr>
      <w:r>
        <w:rPr>
          <w:rFonts w:ascii="Calibri" w:cs="Calibri" w:eastAsia="Calibri" w:hAnsi="Calibri"/>
          <w:sz w:val="21"/>
          <w:szCs w:val="21"/>
        </w:rPr>
        <w:t xml:space="preserve">UNESCO — « Afghanistan : quatre ans plus tard, 2,2 millions de filles toujours interdites d'école », déclaration de la Directrice générale, août 2025.</w:t>
      </w:r>
    </w:p>
    <w:p>
      <w:pPr>
        <w:pStyle w:val="ListParagraph"/>
        <w:numPr>
          <w:ilvl w:val="0"/>
          <w:numId w:val="2"/>
        </w:numPr>
        <w:bidi w:val="false"/>
        <w:spacing w:after="90"/>
        <w:jc w:val="left"/>
      </w:pPr>
      <w:r>
        <w:rPr>
          <w:rFonts w:ascii="Calibri" w:cs="Calibri" w:eastAsia="Calibri" w:hAnsi="Calibri"/>
          <w:sz w:val="21"/>
          <w:szCs w:val="21"/>
        </w:rPr>
        <w:t xml:space="preserve">UNESCO et UNICEF — « Appellent à agir pour protéger le droit à l'éducation en Afghanistan ».</w:t>
      </w:r>
    </w:p>
    <w:p>
      <w:pPr>
        <w:pStyle w:val="ListParagraph"/>
        <w:numPr>
          <w:ilvl w:val="0"/>
          <w:numId w:val="2"/>
        </w:numPr>
        <w:bidi w:val="false"/>
        <w:spacing w:after="90"/>
        <w:jc w:val="left"/>
      </w:pPr>
      <w:r>
        <w:rPr>
          <w:rFonts w:ascii="Calibri" w:cs="Calibri" w:eastAsia="Calibri" w:hAnsi="Calibri"/>
          <w:sz w:val="21"/>
          <w:szCs w:val="21"/>
        </w:rPr>
        <w:t xml:space="preserve">UNICEF Innocenti — « Le coût de l'inaction : Afghanistan », avril 2026.</w:t>
      </w:r>
    </w:p>
    <w:p>
      <w:pPr>
        <w:pStyle w:val="ListParagraph"/>
        <w:numPr>
          <w:ilvl w:val="0"/>
          <w:numId w:val="2"/>
        </w:numPr>
        <w:bidi w:val="false"/>
        <w:spacing w:after="90"/>
        <w:jc w:val="left"/>
      </w:pPr>
      <w:r>
        <w:rPr>
          <w:rFonts w:ascii="Calibri" w:cs="Calibri" w:eastAsia="Calibri" w:hAnsi="Calibri"/>
          <w:sz w:val="21"/>
          <w:szCs w:val="21"/>
        </w:rPr>
        <w:t xml:space="preserve">UNICEF — « Les restrictions à l'éducation des filles et à l'emploi des femmes en Afghanistan pourraient entraîner la perte de plus de 25 000 enseignantes et professionnelles de santé d'ici 2030 ».</w:t>
      </w:r>
    </w:p>
    <w:p>
      <w:pPr>
        <w:pStyle w:val="ListParagraph"/>
        <w:numPr>
          <w:ilvl w:val="0"/>
          <w:numId w:val="2"/>
        </w:numPr>
        <w:bidi w:val="false"/>
        <w:spacing w:after="90"/>
        <w:jc w:val="left"/>
      </w:pPr>
      <w:r>
        <w:rPr>
          <w:rFonts w:ascii="Calibri" w:cs="Calibri" w:eastAsia="Calibri" w:hAnsi="Calibri"/>
          <w:sz w:val="21"/>
          <w:szCs w:val="21"/>
        </w:rPr>
        <w:t xml:space="preserve">DataReportal — « Digital 2026: Afghanistan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2026-07-25T02:48:21.010Z</dcterms:created>
  <dcterms:modified xsi:type="dcterms:W3CDTF">2026-07-25T02:48:21.010Z</dcterms:modified>
</cp:coreProperties>
</file>

<file path=docProps/custom.xml><?xml version="1.0" encoding="utf-8"?>
<Properties xmlns="http://schemas.openxmlformats.org/officeDocument/2006/custom-properties" xmlns:vt="http://schemas.openxmlformats.org/officeDocument/2006/docPropsVTypes"/>
</file>