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bidi/>
        <w:spacing w:after="170" w:before="0"/>
        <w:jc w:val="center"/>
      </w:pPr>
      <w:r>
        <w:rPr>
          <w:rFonts w:ascii="Tahoma" w:cs="Tahoma" w:eastAsia="Tahoma" w:hAnsi="Tahoma"/>
          <w:b/>
          <w:bCs/>
          <w:i w:val="false"/>
          <w:iCs w:val="false"/>
          <w:color w:val="1F1B16"/>
          <w:sz w:val="46"/>
          <w:szCs w:val="46"/>
        </w:rPr>
        <w:t xml:space="preserve">مکتب دیجیتال دخترانِ افغانستان</w:t>
      </w:r>
    </w:p>
    <w:p>
      <w:pPr>
        <w:bidi/>
        <w:spacing w:after="170" w:before="0"/>
        <w:jc w:val="center"/>
      </w:pPr>
      <w:r>
        <w:rPr>
          <w:rFonts w:ascii="Tahoma" w:cs="Tahoma" w:eastAsia="Tahoma" w:hAnsi="Tahoma"/>
          <w:b/>
          <w:bCs/>
          <w:i w:val="false"/>
          <w:iCs w:val="false"/>
          <w:color w:val="B08D57"/>
          <w:sz w:val="24"/>
          <w:szCs w:val="24"/>
        </w:rPr>
        <w:t xml:space="preserve">پروفایل جامع برنامه — سند معرفی برای حامیان و نهادهای کمک‌کننده</w:t>
      </w:r>
    </w:p>
    <w:p>
      <w:pPr>
        <w:spacing w:before="500"/>
      </w:pPr>
    </w:p>
    <w:p>
      <w:pPr>
        <w:bidi/>
        <w:spacing w:after="170" w:before="0"/>
        <w:jc w:val="center"/>
      </w:pPr>
      <w:r>
        <w:rPr>
          <w:rFonts w:ascii="Tahoma" w:cs="Tahoma" w:eastAsia="Tahoma" w:hAnsi="Tahoma"/>
          <w:b w:val="false"/>
          <w:bCs w:val="false"/>
          <w:i/>
          <w:iCs/>
          <w:sz w:val="22"/>
          <w:szCs w:val="22"/>
        </w:rPr>
        <w:t xml:space="preserve">وقتی درِ مکتب بسته می‌شود، اجازه نمی‌دهیم درِ آینده هم بسته شود.</w:t>
      </w:r>
    </w:p>
    <w:p>
      <w:pPr>
        <w:spacing w:before="700"/>
      </w:pPr>
    </w:p>
    <w:p>
      <w:pPr>
        <w:bidi/>
        <w:spacing w:after="170" w:before="0"/>
        <w:jc w:val="center"/>
      </w:pPr>
      <w:r>
        <w:rPr>
          <w:rFonts w:ascii="Tahoma" w:cs="Tahoma" w:eastAsia="Tahoma" w:hAnsi="Tahoma"/>
          <w:b w:val="false"/>
          <w:bCs w:val="false"/>
          <w:i w:val="false"/>
          <w:iCs w:val="false"/>
          <w:sz w:val="20"/>
          <w:szCs w:val="20"/>
        </w:rPr>
        <w:t xml:space="preserve">۳ اسد ۱۴۰۵ — ۲۵ جولای ۲۰۲۶</w:t>
      </w:r>
    </w:p>
    <w:p>
      <w:r>
        <w:br w:type="page"/>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خلاصهٔ مدیریتی</w:t>
      </w:r>
    </w:p>
    <w:p>
      <w:pPr>
        <w:bidi/>
        <w:spacing w:after="170" w:before="0"/>
        <w:jc w:val="right"/>
      </w:pPr>
      <w:r>
        <w:rPr>
          <w:rFonts w:ascii="Tahoma" w:cs="Tahoma" w:eastAsia="Tahoma" w:hAnsi="Tahoma"/>
          <w:b w:val="false"/>
          <w:bCs w:val="false"/>
          <w:i w:val="false"/>
          <w:iCs w:val="false"/>
          <w:sz w:val="22"/>
          <w:szCs w:val="22"/>
        </w:rPr>
        <w:t xml:space="preserve">«مکتب دیجیتال دخترانِ افغانستان» یک اپلیکیشن موبایل رایگان و امن است که نصاب کامل درسی صنف‌های هفتم تا دوازدهم، یک معلم هوشمند همیشه در دسترس، امتحانات رسمی و سنجش پیشرفت، سمینارهای زندهٔ ویدیویی، گواهی‌نامهٔ معتبر، و یک داشبورد اختصاصی برای والدین را در جیب هر دختر افغان قرار می‌دهد — بدون نیاز به حضور فیزیکی در یک مکان قابل‌شناسایی، و بدون هزینه.</w:t>
      </w:r>
    </w:p>
    <w:p>
      <w:pPr>
        <w:bidi/>
        <w:spacing w:after="170" w:before="0"/>
        <w:jc w:val="right"/>
      </w:pPr>
      <w:r>
        <w:rPr>
          <w:rFonts w:ascii="Tahoma" w:cs="Tahoma" w:eastAsia="Tahoma" w:hAnsi="Tahoma"/>
          <w:b w:val="false"/>
          <w:bCs w:val="false"/>
          <w:i w:val="false"/>
          <w:iCs w:val="false"/>
          <w:sz w:val="22"/>
          <w:szCs w:val="22"/>
        </w:rPr>
        <w:t xml:space="preserve">این سند دو هدف دارد: نخست، تصویری روشن و مستند از بحران واقعی محرومیت تحصیلی دختران افغان ارائه می‌دهد؛ دوم، نشان می‌دهد این برنامه دقیقاً چگونه، با چه ابزارها و چه تضمین‌های فنی/امنیتی، به این بحران پاسخ عملی می‌دهد — و چرا سرمایه‌گذاری در آن یکی از مؤثرترین راه‌های کمک به آیندهٔ افغانستان است.</w:t>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بخش یک — بحران: نسلی که از تحصیل محروم شد</w:t>
      </w:r>
    </w:p>
    <w:p>
      <w:pPr>
        <w:pStyle w:val="Heading2"/>
        <w:bidi/>
        <w:spacing w:after="140" w:before="300"/>
        <w:jc w:val="right"/>
      </w:pPr>
      <w:r>
        <w:rPr>
          <w:rFonts w:ascii="Tahoma" w:cs="Tahoma" w:eastAsia="Tahoma" w:hAnsi="Tahoma"/>
          <w:b/>
          <w:bCs/>
          <w:color w:val="B08D57"/>
          <w:sz w:val="26"/>
          <w:szCs w:val="26"/>
        </w:rPr>
        <w:t xml:space="preserve">۱.۱ دستاوردهای بیست‌ساله‌ای که در حال پاک‌شدن است</w:t>
      </w:r>
    </w:p>
    <w:p>
      <w:pPr>
        <w:bidi/>
        <w:spacing w:after="170" w:before="0"/>
        <w:jc w:val="right"/>
      </w:pPr>
      <w:r>
        <w:rPr>
          <w:rFonts w:ascii="Tahoma" w:cs="Tahoma" w:eastAsia="Tahoma" w:hAnsi="Tahoma"/>
          <w:b w:val="false"/>
          <w:bCs w:val="false"/>
          <w:i w:val="false"/>
          <w:iCs w:val="false"/>
          <w:sz w:val="22"/>
          <w:szCs w:val="22"/>
        </w:rPr>
        <w:t xml:space="preserve">بین سال‌های ۲۰۰۱ تا ۲۰۲۱، با تلاش هماهنگ جامعهٔ جهانی به رهبری یونسکو، تعداد دانش‌آموزان افغانستان ده برابر شد. در سال ۲۰۰۱ تقریباً هیچ دختری به مکتب نمی‌رفت؛ تا سال ۲۰۲۱، میزان ثبت‌نام دختران در سن مکتب ابتدایی به بیش از ۸۰٪ رسید و نرخ باسوادی زنان تقریباً دو برابر شد (از ۱۷٪ به نزدیک ۳۰٪). این دستاورد، ثمرهٔ دو دهه سرمایه‌گذاری بین‌المللی بود.</w:t>
      </w:r>
    </w:p>
    <w:p>
      <w:pPr>
        <w:bidi/>
        <w:spacing w:after="170" w:before="0"/>
        <w:jc w:val="right"/>
      </w:pPr>
      <w:r>
        <w:rPr>
          <w:rFonts w:ascii="Tahoma" w:cs="Tahoma" w:eastAsia="Tahoma" w:hAnsi="Tahoma"/>
          <w:b w:val="false"/>
          <w:bCs w:val="false"/>
          <w:i w:val="false"/>
          <w:iCs w:val="false"/>
          <w:sz w:val="22"/>
          <w:szCs w:val="22"/>
        </w:rPr>
        <w:t xml:space="preserve">از ۱۵ اگست ۲۰۲۱ که طالبان قدرت را به‌دست گرفتند، بیش از ۷۰ فرمان علیه حقوق زنان و دختران صادر شده — و مهم‌ترین آن، ممنوعیت کامل تحصیل دختران فراتر از صنف ششم است. طبق بیانیهٔ رسمی مدیرکل یونسکو (اگست ۲۰۲۵)، افغانستان امروز تنها کشور جهان است که تحصیلات ثانوی و عالی را به‌طور کامل و رسمی برای دختران و زنان ممنوع کرده است.</w:t>
      </w:r>
    </w:p>
    <w:p>
      <w:pPr>
        <w:pStyle w:val="Heading2"/>
        <w:bidi/>
        <w:spacing w:after="140" w:before="300"/>
        <w:jc w:val="right"/>
      </w:pPr>
      <w:r>
        <w:rPr>
          <w:rFonts w:ascii="Tahoma" w:cs="Tahoma" w:eastAsia="Tahoma" w:hAnsi="Tahoma"/>
          <w:b/>
          <w:bCs/>
          <w:color w:val="B08D57"/>
          <w:sz w:val="26"/>
          <w:szCs w:val="26"/>
        </w:rPr>
        <w:t xml:space="preserve">۱.۲ آمار و ارقام</w:t>
      </w:r>
    </w:p>
    <w:tbl>
      <w:tblPr>
        <w:tblW w:type="dxa" w:w="9500"/>
        <w:tblBorders>
          <w:top w:val="none"/>
          <w:left w:val="none"/>
          <w:bottom w:val="none"/>
          <w:right w:val="none"/>
          <w:insideH w:val="none"/>
          <w:insideV w:val="none"/>
        </w:tblBorders>
      </w:tblPr>
      <w:tblGrid>
        <w:gridCol w:w="3166"/>
        <w:gridCol w:w="3166"/>
        <w:gridCol w:w="3166"/>
      </w:tblGrid>
      <w:tr>
        <w:tc>
          <w:tcPr>
            <w:tcW w:type="dxa" w:w="3166"/>
            <w:shd w:fill="F5F0E6" w:val="clear"/>
            <w:tcMar>
              <w:top w:type="dxa" w:w="200"/>
              <w:left w:type="dxa" w:w="160"/>
              <w:bottom w:type="dxa" w:w="200"/>
              <w:right w:type="dxa" w:w="160"/>
            </w:tcMar>
          </w:tcPr>
          <w:p>
            <w:pPr>
              <w:bidi/>
              <w:jc w:val="center"/>
            </w:pPr>
            <w:r>
              <w:rPr>
                <w:rFonts w:ascii="Tahoma" w:cs="Tahoma" w:eastAsia="Tahoma" w:hAnsi="Tahoma"/>
                <w:b/>
                <w:bCs/>
                <w:color w:val="B08D57"/>
                <w:sz w:val="36"/>
                <w:szCs w:val="36"/>
              </w:rPr>
              <w:t xml:space="preserve">۲.۲ میلیون</w:t>
            </w:r>
          </w:p>
          <w:p>
            <w:pPr>
              <w:bidi/>
              <w:spacing w:before="60"/>
              <w:jc w:val="center"/>
            </w:pPr>
            <w:r>
              <w:rPr>
                <w:rFonts w:ascii="Tahoma" w:cs="Tahoma" w:eastAsia="Tahoma" w:hAnsi="Tahoma"/>
                <w:color w:val="1F1B16"/>
                <w:sz w:val="18"/>
                <w:szCs w:val="18"/>
              </w:rPr>
              <w:t xml:space="preserve">دختر نوجوان که از مکتب ثانوی محروم‌اند (یونسکو، ۲۰۲۵)</w:t>
            </w:r>
          </w:p>
        </w:tc>
        <w:tc>
          <w:tcPr>
            <w:tcW w:type="dxa" w:w="3166"/>
            <w:shd w:fill="F5F0E6" w:val="clear"/>
            <w:tcMar>
              <w:top w:type="dxa" w:w="200"/>
              <w:left w:type="dxa" w:w="160"/>
              <w:bottom w:type="dxa" w:w="200"/>
              <w:right w:type="dxa" w:w="160"/>
            </w:tcMar>
          </w:tcPr>
          <w:p>
            <w:pPr>
              <w:bidi/>
              <w:jc w:val="center"/>
            </w:pPr>
            <w:r>
              <w:rPr>
                <w:rFonts w:ascii="Tahoma" w:cs="Tahoma" w:eastAsia="Tahoma" w:hAnsi="Tahoma"/>
                <w:b/>
                <w:bCs/>
                <w:color w:val="B08D57"/>
                <w:sz w:val="36"/>
                <w:szCs w:val="36"/>
              </w:rPr>
              <w:t xml:space="preserve">۳.۷ میلیون</w:t>
            </w:r>
          </w:p>
          <w:p>
            <w:pPr>
              <w:bidi/>
              <w:spacing w:before="60"/>
              <w:jc w:val="center"/>
            </w:pPr>
            <w:r>
              <w:rPr>
                <w:rFonts w:ascii="Tahoma" w:cs="Tahoma" w:eastAsia="Tahoma" w:hAnsi="Tahoma"/>
                <w:color w:val="1F1B16"/>
                <w:sz w:val="18"/>
                <w:szCs w:val="18"/>
              </w:rPr>
              <w:t xml:space="preserve">کودک افغان خارج از مکتب — حدود ۶۰٪ آن‌ها دختر</w:t>
            </w:r>
          </w:p>
        </w:tc>
        <w:tc>
          <w:tcPr>
            <w:tcW w:type="dxa" w:w="3166"/>
            <w:shd w:fill="F5F0E6" w:val="clear"/>
            <w:tcMar>
              <w:top w:type="dxa" w:w="200"/>
              <w:left w:type="dxa" w:w="160"/>
              <w:bottom w:type="dxa" w:w="200"/>
              <w:right w:type="dxa" w:w="160"/>
            </w:tcMar>
          </w:tcPr>
          <w:p>
            <w:pPr>
              <w:bidi/>
              <w:jc w:val="center"/>
            </w:pPr>
            <w:r>
              <w:rPr>
                <w:rFonts w:ascii="Tahoma" w:cs="Tahoma" w:eastAsia="Tahoma" w:hAnsi="Tahoma"/>
                <w:b/>
                <w:bCs/>
                <w:color w:val="B08D57"/>
                <w:sz w:val="36"/>
                <w:szCs w:val="36"/>
              </w:rPr>
              <w:t xml:space="preserve">+۱۰۰٬۰۰۰</w:t>
            </w:r>
          </w:p>
          <w:p>
            <w:pPr>
              <w:bidi/>
              <w:spacing w:before="60"/>
              <w:jc w:val="center"/>
            </w:pPr>
            <w:r>
              <w:rPr>
                <w:rFonts w:ascii="Tahoma" w:cs="Tahoma" w:eastAsia="Tahoma" w:hAnsi="Tahoma"/>
                <w:color w:val="1F1B16"/>
                <w:sz w:val="18"/>
                <w:szCs w:val="18"/>
              </w:rPr>
              <w:t xml:space="preserve">دختر که از دسترسی به دانشگاه محروم شده‌اند (از دسامبر ۲۰۲۲)</w:t>
            </w:r>
          </w:p>
        </w:tc>
      </w:tr>
    </w:tbl>
    <w:p>
      <w:pPr>
        <w:bidi/>
        <w:spacing w:after="170" w:before="0"/>
        <w:jc w:val="right"/>
      </w:pPr>
      <w:r>
        <w:rPr>
          <w:rFonts w:ascii="Tahoma" w:cs="Tahoma" w:eastAsia="Tahoma" w:hAnsi="Tahoma"/>
          <w:b w:val="false"/>
          <w:bCs w:val="false"/>
          <w:i w:val="false"/>
          <w:iCs w:val="false"/>
          <w:sz w:val="22"/>
          <w:szCs w:val="22"/>
        </w:rPr>
        <w:t xml:space="preserve">این ارقام ثابت نیستند؛ طبق گزارش‌های سازمان ملل، اگر ممنوعیت ادامه یابد، تا سال ۲۰۳۰ بیش از ۲ میلیون دختر دیگر از حق تحصیل فراتر از ابتدایی محروم خواهند شد — یعنی هر روز که می‌گذرد، تعداد بیشتری از دختران برای همیشه این فرصت را از دست می‌دهند.</w:t>
      </w:r>
    </w:p>
    <w:p>
      <w:pPr>
        <w:pStyle w:val="Heading2"/>
        <w:bidi/>
        <w:spacing w:after="140" w:before="300"/>
        <w:jc w:val="right"/>
      </w:pPr>
      <w:r>
        <w:rPr>
          <w:rFonts w:ascii="Tahoma" w:cs="Tahoma" w:eastAsia="Tahoma" w:hAnsi="Tahoma"/>
          <w:b/>
          <w:bCs/>
          <w:color w:val="B08D57"/>
          <w:sz w:val="26"/>
          <w:szCs w:val="26"/>
        </w:rPr>
        <w:t xml:space="preserve">۱.۳ بهای انسانی و اقتصادی</w:t>
      </w:r>
    </w:p>
    <w:p>
      <w:pPr>
        <w:pStyle w:val="ListParagraph"/>
        <w:numPr>
          <w:ilvl w:val="0"/>
          <w:numId w:val="2"/>
        </w:numPr>
        <w:bidi/>
        <w:spacing w:after="90"/>
        <w:jc w:val="right"/>
      </w:pPr>
      <w:r>
        <w:rPr>
          <w:rFonts w:ascii="Tahoma" w:cs="Tahoma" w:eastAsia="Tahoma" w:hAnsi="Tahoma"/>
          <w:sz w:val="21"/>
          <w:szCs w:val="21"/>
        </w:rPr>
        <w:t xml:space="preserve">طبق گزارش «هزینهٔ بی‌عملی» (UNICEF Innocenti، آوریل ۲۰۲۶)، همین حالا این محدودیت‌ها ۰.۵٪ از تولید ناخالص داخلی افغانستان را کاسته و سالانه ۸۴ میلیون دالر زیان اقتصادی مستقیم ایجاد کرده — زیانی که هر سال بیشتر می‌شود.</w:t>
      </w:r>
    </w:p>
    <w:p>
      <w:pPr>
        <w:pStyle w:val="ListParagraph"/>
        <w:numPr>
          <w:ilvl w:val="0"/>
          <w:numId w:val="2"/>
        </w:numPr>
        <w:bidi/>
        <w:spacing w:after="90"/>
        <w:jc w:val="right"/>
      </w:pPr>
      <w:r>
        <w:rPr>
          <w:rFonts w:ascii="Tahoma" w:cs="Tahoma" w:eastAsia="Tahoma" w:hAnsi="Tahoma"/>
          <w:sz w:val="21"/>
          <w:szCs w:val="21"/>
        </w:rPr>
        <w:t xml:space="preserve">تا سال ۲۰۳۰، افغانستان ممکن است تا ۲۰٬۰۰۰ معلم زن و ۵٬۴۰۰ کارمند صحی زن را از دست بدهد — دقیقاً همان کسانی که برای آموزش و صحت خودِ دختران در آینده لازم‌اند.</w:t>
      </w:r>
    </w:p>
    <w:p>
      <w:pPr>
        <w:pStyle w:val="ListParagraph"/>
        <w:numPr>
          <w:ilvl w:val="0"/>
          <w:numId w:val="2"/>
        </w:numPr>
        <w:bidi/>
        <w:spacing w:after="90"/>
        <w:jc w:val="right"/>
      </w:pPr>
      <w:r>
        <w:rPr>
          <w:rFonts w:ascii="Tahoma" w:cs="Tahoma" w:eastAsia="Tahoma" w:hAnsi="Tahoma"/>
          <w:sz w:val="21"/>
          <w:szCs w:val="21"/>
        </w:rPr>
        <w:t xml:space="preserve">در ۳۵ سال آینده، برآورد می‌شود ۶۰۰٬۰۰۰ زن ماهر از نیروی کار افغانستان خارج شوند.</w:t>
      </w:r>
    </w:p>
    <w:p>
      <w:pPr>
        <w:pStyle w:val="ListParagraph"/>
        <w:numPr>
          <w:ilvl w:val="0"/>
          <w:numId w:val="2"/>
        </w:numPr>
        <w:bidi/>
        <w:spacing w:after="90"/>
        <w:jc w:val="right"/>
      </w:pPr>
      <w:r>
        <w:rPr>
          <w:rFonts w:ascii="Tahoma" w:cs="Tahoma" w:eastAsia="Tahoma" w:hAnsi="Tahoma"/>
          <w:sz w:val="21"/>
          <w:szCs w:val="21"/>
        </w:rPr>
        <w:t xml:space="preserve">محرومیت از تحصیل، دختران را در معرض خطر بیشتر ازدواج زودهنگام، انزوای اجتماعی و آسیب‌های روانی قرار می‌دهد — و این چرخه بدون مداخله، نسل بعدی را هم گرفتار می‌کند.</w:t>
      </w:r>
    </w:p>
    <w:p>
      <w:pPr>
        <w:pStyle w:val="ListParagraph"/>
        <w:numPr>
          <w:ilvl w:val="0"/>
          <w:numId w:val="2"/>
        </w:numPr>
        <w:bidi/>
        <w:spacing w:after="90"/>
        <w:jc w:val="right"/>
      </w:pPr>
      <w:r>
        <w:rPr>
          <w:rFonts w:ascii="Tahoma" w:cs="Tahoma" w:eastAsia="Tahoma" w:hAnsi="Tahoma"/>
          <w:sz w:val="21"/>
          <w:szCs w:val="21"/>
        </w:rPr>
        <w:t xml:space="preserve">در همین حال، حتی زیر این محدودیت‌ها، ۲۵.۵٪ از جمعیت افغانستان (بیش از ۱۱.۳ میلیون نفر) به اینترنت و بیش از نیمی از جمعیت به تلفن همراه دسترسی دارند (DataReportal، ۲۰۲۶) — یعنی یک کانال دیجیتال و گوشی‌محور، برخلاف مکتب فیزیکی، از قبل به‌طور گسترده در دسترس خانواده‌های افغان است.</w:t>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بخش دوم — چرا این برنامه؟ پرکردن خلای واقعی</w:t>
      </w:r>
    </w:p>
    <w:p>
      <w:pPr>
        <w:bidi/>
        <w:spacing w:after="170" w:before="0"/>
        <w:jc w:val="right"/>
      </w:pPr>
      <w:r>
        <w:rPr>
          <w:rFonts w:ascii="Tahoma" w:cs="Tahoma" w:eastAsia="Tahoma" w:hAnsi="Tahoma"/>
          <w:b w:val="false"/>
          <w:bCs w:val="false"/>
          <w:i w:val="false"/>
          <w:iCs w:val="false"/>
          <w:sz w:val="22"/>
          <w:szCs w:val="22"/>
        </w:rPr>
        <w:t xml:space="preserve">تلاش‌های ارزشمند دیگری مثل کلاس‌های سواد جامعه‌محور، رادیو و پلتفرم‌های واتساپ (مثل SOLAx) وجود دارند و یونسکو از آن‌ها حمایت می‌کند — اما این‌ها عمدتاً سواد پایه ارائه می‌دهند، محدود به دسترسی یک‌طرفه (پخش، نه تعامل واقعی) هستند، و نصاب رسمی کامل صنف‌های بالاتر (۷ تا ۱۲) را پوشش نمی‌دهند.</w:t>
      </w:r>
    </w:p>
    <w:p>
      <w:pPr>
        <w:bidi/>
        <w:spacing w:after="170" w:before="0"/>
        <w:jc w:val="right"/>
      </w:pPr>
      <w:r>
        <w:rPr>
          <w:rFonts w:ascii="Tahoma" w:cs="Tahoma" w:eastAsia="Tahoma" w:hAnsi="Tahoma"/>
          <w:b w:val="false"/>
          <w:bCs w:val="false"/>
          <w:i w:val="false"/>
          <w:iCs w:val="false"/>
          <w:sz w:val="22"/>
          <w:szCs w:val="22"/>
        </w:rPr>
        <w:t xml:space="preserve">«مکتب دیجیتال دخترانِ افغانستان» دقیقاً همین خلا را پر می‌کند: یک مکتب دیجیتالِ کامل، نه یک منبع کمکیِ سواد. با نصاب رسمی کامل، معلم هوشمند تعاملی، امتحانات واقعی، سمینار زندهٔ دوطرفه، و گواهی‌نامهٔ معتبر — همه از طریق یک اپلیکیشن که می‌تواند در خلوتِ خانه، بدون جلب توجه، روی همان گوشی‌ای که خانواده از قبل دارد، استفاده شود.</w:t>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بخش سوم — نقاط قوت برنامه</w:t>
      </w:r>
    </w:p>
    <w:p>
      <w:pPr>
        <w:pStyle w:val="Heading3"/>
        <w:bidi/>
        <w:spacing w:after="100" w:before="220"/>
        <w:jc w:val="right"/>
      </w:pPr>
      <w:r>
        <w:rPr>
          <w:rFonts w:ascii="Tahoma" w:cs="Tahoma" w:eastAsia="Tahoma" w:hAnsi="Tahoma"/>
          <w:b/>
          <w:bCs/>
          <w:color w:val="1F1B16"/>
          <w:sz w:val="23"/>
          <w:szCs w:val="23"/>
        </w:rPr>
        <w:t xml:space="preserve">طراحی‌شده برای واقعیت افغانستان، نه یک نمونهٔ عمومی</w:t>
      </w:r>
    </w:p>
    <w:p>
      <w:pPr>
        <w:pStyle w:val="ListParagraph"/>
        <w:numPr>
          <w:ilvl w:val="0"/>
          <w:numId w:val="2"/>
        </w:numPr>
        <w:bidi/>
        <w:spacing w:after="90"/>
        <w:jc w:val="right"/>
      </w:pPr>
      <w:r>
        <w:rPr>
          <w:rFonts w:ascii="Tahoma" w:cs="Tahoma" w:eastAsia="Tahoma" w:hAnsi="Tahoma"/>
          <w:sz w:val="21"/>
          <w:szCs w:val="21"/>
        </w:rPr>
        <w:t xml:space="preserve">رایگان و کاملاً مجانی برای شاگردان — هیچ هزینه‌ای مانع دسترسی نمی‌شود.</w:t>
      </w:r>
    </w:p>
    <w:p>
      <w:pPr>
        <w:pStyle w:val="ListParagraph"/>
        <w:numPr>
          <w:ilvl w:val="0"/>
          <w:numId w:val="2"/>
        </w:numPr>
        <w:bidi/>
        <w:spacing w:after="90"/>
        <w:jc w:val="right"/>
      </w:pPr>
      <w:r>
        <w:rPr>
          <w:rFonts w:ascii="Tahoma" w:cs="Tahoma" w:eastAsia="Tahoma" w:hAnsi="Tahoma"/>
          <w:sz w:val="21"/>
          <w:szCs w:val="21"/>
        </w:rPr>
        <w:t xml:space="preserve">قابل‌استفاده در خلوت خانه، بدون نیاز به حضور در یک مکان قابل‌شناسایی یا رفت‌وآمد علنی — یک لایهٔ محافظتی حیاتی در بافت فعلی افغانستان.</w:t>
      </w:r>
    </w:p>
    <w:p>
      <w:pPr>
        <w:pStyle w:val="ListParagraph"/>
        <w:numPr>
          <w:ilvl w:val="0"/>
          <w:numId w:val="2"/>
        </w:numPr>
        <w:bidi/>
        <w:spacing w:after="90"/>
        <w:jc w:val="right"/>
      </w:pPr>
      <w:r>
        <w:rPr>
          <w:rFonts w:ascii="Tahoma" w:cs="Tahoma" w:eastAsia="Tahoma" w:hAnsi="Tahoma"/>
          <w:sz w:val="21"/>
          <w:szCs w:val="21"/>
        </w:rPr>
        <w:t xml:space="preserve">نصاب رسمی کامل صنف‌های ۷ تا ۱۲، تولیدشده و به‌روزشده با کمک هوش مصنوعی، منطبق با کتاب‌های درسی رسمی.</w:t>
      </w:r>
    </w:p>
    <w:p>
      <w:pPr>
        <w:pStyle w:val="ListParagraph"/>
        <w:numPr>
          <w:ilvl w:val="0"/>
          <w:numId w:val="2"/>
        </w:numPr>
        <w:bidi/>
        <w:spacing w:after="90"/>
        <w:jc w:val="right"/>
      </w:pPr>
      <w:r>
        <w:rPr>
          <w:rFonts w:ascii="Tahoma" w:cs="Tahoma" w:eastAsia="Tahoma" w:hAnsi="Tahoma"/>
          <w:sz w:val="21"/>
          <w:szCs w:val="21"/>
        </w:rPr>
        <w:t xml:space="preserve">معلم هوشمند تعاملی (متنی و صوتی) به زبان دری — پاسخ‌گوی سؤال هر شاگرد، در هر ساعت از شبانه‌روز، بدون نیاز به معلم انسانی حاضر.</w:t>
      </w:r>
    </w:p>
    <w:p>
      <w:pPr>
        <w:pStyle w:val="ListParagraph"/>
        <w:numPr>
          <w:ilvl w:val="0"/>
          <w:numId w:val="2"/>
        </w:numPr>
        <w:bidi/>
        <w:spacing w:after="90"/>
        <w:jc w:val="right"/>
      </w:pPr>
      <w:r>
        <w:rPr>
          <w:rFonts w:ascii="Tahoma" w:cs="Tahoma" w:eastAsia="Tahoma" w:hAnsi="Tahoma"/>
          <w:sz w:val="21"/>
          <w:szCs w:val="21"/>
        </w:rPr>
        <w:t xml:space="preserve">سیستم سنجش واقعی: آزمون هر فصل و امتحان فاینل رسمی چندمضمونه با نمره‌دهی هوشمند و یک «فرصت دوم» خودکار پس از ۱۵ روز — یادگیری بدون ترس از شکست دائمی.</w:t>
      </w:r>
    </w:p>
    <w:p>
      <w:pPr>
        <w:pStyle w:val="ListParagraph"/>
        <w:numPr>
          <w:ilvl w:val="0"/>
          <w:numId w:val="2"/>
        </w:numPr>
        <w:bidi/>
        <w:spacing w:after="90"/>
        <w:jc w:val="right"/>
      </w:pPr>
      <w:r>
        <w:rPr>
          <w:rFonts w:ascii="Tahoma" w:cs="Tahoma" w:eastAsia="Tahoma" w:hAnsi="Tahoma"/>
          <w:sz w:val="21"/>
          <w:szCs w:val="21"/>
        </w:rPr>
        <w:t xml:space="preserve">گواهی‌نامهٔ دیجیتال معتبر با امضای رمزنگاری‌شده و تأیید اصالت با QR — اعتباربخشی واقعی به تلاش شاگرد، حتی در نبود زیرساخت رسمی آموزشی.</w:t>
      </w:r>
    </w:p>
    <w:p>
      <w:pPr>
        <w:pStyle w:val="ListParagraph"/>
        <w:numPr>
          <w:ilvl w:val="0"/>
          <w:numId w:val="2"/>
        </w:numPr>
        <w:bidi/>
        <w:spacing w:after="90"/>
        <w:jc w:val="right"/>
      </w:pPr>
      <w:r>
        <w:rPr>
          <w:rFonts w:ascii="Tahoma" w:cs="Tahoma" w:eastAsia="Tahoma" w:hAnsi="Tahoma"/>
          <w:sz w:val="21"/>
          <w:szCs w:val="21"/>
        </w:rPr>
        <w:t xml:space="preserve">سمینارهای زندهٔ ویدیویی — بُعد اجتماعی و انسانیِ یادگیری را حفظ می‌کند؛ دختران با استاد و همدیگر رو در رو (هرچند از راه دور) در ارتباط‌اند، نه صرفاً تنها با یک صفحه.</w:t>
      </w:r>
    </w:p>
    <w:p>
      <w:pPr>
        <w:pStyle w:val="ListParagraph"/>
        <w:numPr>
          <w:ilvl w:val="0"/>
          <w:numId w:val="2"/>
        </w:numPr>
        <w:bidi/>
        <w:spacing w:after="90"/>
        <w:jc w:val="right"/>
      </w:pPr>
      <w:r>
        <w:rPr>
          <w:rFonts w:ascii="Tahoma" w:cs="Tahoma" w:eastAsia="Tahoma" w:hAnsi="Tahoma"/>
          <w:sz w:val="21"/>
          <w:szCs w:val="21"/>
        </w:rPr>
        <w:t xml:space="preserve">داشبورد اختصاصی والدین — با نمایش شفاف نتایج، سرتیفیکیت‌ها و پیشرفت هر فرزند، اعتماد خانواده جلب می‌شود؛ در بافتی که تصمیم‌گیری خانوادگی نقش تعیین‌کننده دارد، این شفافیت شرط بقای برنامه است.</w:t>
      </w:r>
    </w:p>
    <w:p>
      <w:pPr>
        <w:pStyle w:val="ListParagraph"/>
        <w:numPr>
          <w:ilvl w:val="0"/>
          <w:numId w:val="2"/>
        </w:numPr>
        <w:bidi/>
        <w:spacing w:after="90"/>
        <w:jc w:val="right"/>
      </w:pPr>
      <w:r>
        <w:rPr>
          <w:rFonts w:ascii="Tahoma" w:cs="Tahoma" w:eastAsia="Tahoma" w:hAnsi="Tahoma"/>
          <w:sz w:val="21"/>
          <w:szCs w:val="21"/>
        </w:rPr>
        <w:t xml:space="preserve">حمایت روانی-اجتماعی از طریق «مشاور هوشمند»، با یک لایهٔ نظارت انسانی برای موارد حساس — به رسمیت‌شناختن این‌که یادگیری از سلامت روانی جدا نیست.</w:t>
      </w:r>
    </w:p>
    <w:p>
      <w:pPr>
        <w:pStyle w:val="ListParagraph"/>
        <w:numPr>
          <w:ilvl w:val="0"/>
          <w:numId w:val="2"/>
        </w:numPr>
        <w:bidi/>
        <w:spacing w:after="90"/>
        <w:jc w:val="right"/>
      </w:pPr>
      <w:r>
        <w:rPr>
          <w:rFonts w:ascii="Tahoma" w:cs="Tahoma" w:eastAsia="Tahoma" w:hAnsi="Tahoma"/>
          <w:sz w:val="21"/>
          <w:szCs w:val="21"/>
        </w:rPr>
        <w:t xml:space="preserve">انگیزه‌بخشی از طریق امتیاز، سطح و جشن‌های کوچک دیجیتال — یادگیری را به تجربه‌ای پویا و امیدبخش تبدیل می‌کند، نه فقط یک وظیفهٔ خشک.</w:t>
      </w:r>
    </w:p>
    <w:p>
      <w:pPr>
        <w:pStyle w:val="ListParagraph"/>
        <w:numPr>
          <w:ilvl w:val="0"/>
          <w:numId w:val="2"/>
        </w:numPr>
        <w:bidi/>
        <w:spacing w:after="90"/>
        <w:jc w:val="right"/>
      </w:pPr>
      <w:r>
        <w:rPr>
          <w:rFonts w:ascii="Tahoma" w:cs="Tahoma" w:eastAsia="Tahoma" w:hAnsi="Tahoma"/>
          <w:sz w:val="21"/>
          <w:szCs w:val="21"/>
        </w:rPr>
        <w:t xml:space="preserve">بومی‌سازی چهار زبانه (دری، پشتو، انگلیسی، فرانسوی) — قابل‌استفاده هم برای دختران داخل افغانستان و هم جامعهٔ مهاجر/پناهنده افغان.</w:t>
      </w:r>
    </w:p>
    <w:p>
      <w:pPr>
        <w:pStyle w:val="ListParagraph"/>
        <w:numPr>
          <w:ilvl w:val="0"/>
          <w:numId w:val="2"/>
        </w:numPr>
        <w:bidi/>
        <w:spacing w:after="90"/>
        <w:jc w:val="right"/>
      </w:pPr>
      <w:r>
        <w:rPr>
          <w:rFonts w:ascii="Tahoma" w:cs="Tahoma" w:eastAsia="Tahoma" w:hAnsi="Tahoma"/>
          <w:sz w:val="21"/>
          <w:szCs w:val="21"/>
        </w:rPr>
        <w:t xml:space="preserve">معماری فنی کم‌هزینه (زیرساخت ابری بدون سرور + سهمیهٔ رایگان هوش مصنوعی) — یعنی کمک مالی حامیان صرف گسترش واقعیِ دسترسی می‌شود، نه هزینه‌های سربار زیرساخت.</w:t>
      </w:r>
    </w:p>
    <w:p>
      <w:pPr>
        <w:pStyle w:val="ListParagraph"/>
        <w:numPr>
          <w:ilvl w:val="0"/>
          <w:numId w:val="2"/>
        </w:numPr>
        <w:bidi/>
        <w:spacing w:after="90"/>
        <w:jc w:val="right"/>
      </w:pPr>
      <w:r>
        <w:rPr>
          <w:rFonts w:ascii="Tahoma" w:cs="Tahoma" w:eastAsia="Tahoma" w:hAnsi="Tahoma"/>
          <w:sz w:val="21"/>
          <w:szCs w:val="21"/>
        </w:rPr>
        <w:t xml:space="preserve">امنیت و حریم خصوصی در طراحی: رمزگذاری اطلاعات حساس، امضای رمزنگاری‌شدهٔ گواهی‌نامه، ثبت غیرقابل‌دستکاریِ هر عملیات حساس، و کنترل دسترسی دقیق — چون برای این کاربران، یک نشتی اطلاعاتی صرفاً «مشکل فنی» نیست، یک خطر واقعی است.</w:t>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بخش چهارم — معرفی کامل بخش‌ها و امکانات برنامه</w:t>
      </w:r>
    </w:p>
    <w:p>
      <w:pPr>
        <w:pStyle w:val="Heading2"/>
        <w:bidi/>
        <w:spacing w:after="140" w:before="300"/>
        <w:jc w:val="right"/>
      </w:pPr>
      <w:r>
        <w:rPr>
          <w:rFonts w:ascii="Tahoma" w:cs="Tahoma" w:eastAsia="Tahoma" w:hAnsi="Tahoma"/>
          <w:b/>
          <w:bCs/>
          <w:color w:val="B08D57"/>
          <w:sz w:val="26"/>
          <w:szCs w:val="26"/>
        </w:rPr>
        <w:t xml:space="preserve">۴.۱ داشبورد شاگرد</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1B16" w:val="clear"/>
            <w:vAlign w:val="center"/>
          </w:tcPr>
          <w:p>
            <w:pPr>
              <w:bidi/>
              <w:jc w:val="right"/>
            </w:pPr>
            <w:r>
              <w:rPr>
                <w:rFonts w:ascii="Tahoma" w:cs="Tahoma" w:eastAsia="Tahoma" w:hAnsi="Tahoma"/>
                <w:b/>
                <w:bCs/>
                <w:color w:val="FFFFFF"/>
                <w:sz w:val="20"/>
                <w:szCs w:val="20"/>
              </w:rPr>
              <w:t xml:space="preserve">بخش</w:t>
            </w:r>
          </w:p>
        </w:tc>
        <w:tc>
          <w:tcPr>
            <w:tcW w:type="dxa" w:w="6900"/>
            <w:shd w:fill="1F1B16" w:val="clear"/>
            <w:vAlign w:val="center"/>
          </w:tcPr>
          <w:p>
            <w:pPr>
              <w:bidi/>
              <w:jc w:val="right"/>
            </w:pPr>
            <w:r>
              <w:rPr>
                <w:rFonts w:ascii="Tahoma" w:cs="Tahoma" w:eastAsia="Tahoma" w:hAnsi="Tahoma"/>
                <w:b/>
                <w:bCs/>
                <w:color w:val="FFFFFF"/>
                <w:sz w:val="20"/>
                <w:szCs w:val="20"/>
              </w:rPr>
              <w:t xml:space="preserve">توضیح</w:t>
            </w:r>
          </w:p>
        </w:tc>
      </w:tr>
      <w:tr>
        <w:tc>
          <w:tcPr>
            <w:tcW w:type="dxa" w:w="2600"/>
            <w:vAlign w:val="center"/>
          </w:tcPr>
          <w:p>
            <w:pPr>
              <w:bidi/>
              <w:jc w:val="right"/>
            </w:pPr>
            <w:r>
              <w:rPr>
                <w:rFonts w:ascii="Tahoma" w:cs="Tahoma" w:eastAsia="Tahoma" w:hAnsi="Tahoma"/>
                <w:b/>
                <w:bCs/>
                <w:sz w:val="20"/>
                <w:szCs w:val="20"/>
              </w:rPr>
              <w:t xml:space="preserve">نقشهٔ صنف‌ها</w:t>
            </w:r>
          </w:p>
        </w:tc>
        <w:tc>
          <w:tcPr>
            <w:tcW w:type="dxa" w:w="6900"/>
            <w:vAlign w:val="center"/>
          </w:tcPr>
          <w:p>
            <w:pPr>
              <w:bidi/>
              <w:jc w:val="right"/>
            </w:pPr>
            <w:r>
              <w:rPr>
                <w:rFonts w:ascii="Tahoma" w:cs="Tahoma" w:eastAsia="Tahoma" w:hAnsi="Tahoma"/>
                <w:b w:val="false"/>
                <w:bCs w:val="false"/>
                <w:sz w:val="20"/>
                <w:szCs w:val="20"/>
              </w:rPr>
              <w:t xml:space="preserve">نمایش صنف فعلی و مسیر ارتقا به صنف بعد، بر اساس پیشرفت واقعی.</w:t>
            </w:r>
          </w:p>
        </w:tc>
      </w:tr>
      <w:tr>
        <w:tc>
          <w:tcPr>
            <w:tcW w:type="dxa" w:w="2600"/>
            <w:shd w:fill="F5F0E6" w:val="clear"/>
            <w:vAlign w:val="center"/>
          </w:tcPr>
          <w:p>
            <w:pPr>
              <w:bidi/>
              <w:jc w:val="right"/>
            </w:pPr>
            <w:r>
              <w:rPr>
                <w:rFonts w:ascii="Tahoma" w:cs="Tahoma" w:eastAsia="Tahoma" w:hAnsi="Tahoma"/>
                <w:b/>
                <w:bCs/>
                <w:sz w:val="20"/>
                <w:szCs w:val="20"/>
              </w:rPr>
              <w:t xml:space="preserve">نصاب درسی و درس‌ها</w:t>
            </w:r>
          </w:p>
        </w:tc>
        <w:tc>
          <w:tcPr>
            <w:tcW w:type="dxa" w:w="6900"/>
            <w:shd w:fill="F5F0E6" w:val="clear"/>
            <w:vAlign w:val="center"/>
          </w:tcPr>
          <w:p>
            <w:pPr>
              <w:bidi/>
              <w:jc w:val="right"/>
            </w:pPr>
            <w:r>
              <w:rPr>
                <w:rFonts w:ascii="Tahoma" w:cs="Tahoma" w:eastAsia="Tahoma" w:hAnsi="Tahoma"/>
                <w:b w:val="false"/>
                <w:bCs w:val="false"/>
                <w:sz w:val="20"/>
                <w:szCs w:val="20"/>
              </w:rPr>
              <w:t xml:space="preserve">محتوای کامل هر صنف/مضمون، تولیدشده با هوش مصنوعی و منطبق با کتاب درسی رسمی.</w:t>
            </w:r>
          </w:p>
        </w:tc>
      </w:tr>
      <w:tr>
        <w:tc>
          <w:tcPr>
            <w:tcW w:type="dxa" w:w="2600"/>
            <w:vAlign w:val="center"/>
          </w:tcPr>
          <w:p>
            <w:pPr>
              <w:bidi/>
              <w:jc w:val="right"/>
            </w:pPr>
            <w:r>
              <w:rPr>
                <w:rFonts w:ascii="Tahoma" w:cs="Tahoma" w:eastAsia="Tahoma" w:hAnsi="Tahoma"/>
                <w:b/>
                <w:bCs/>
                <w:sz w:val="20"/>
                <w:szCs w:val="20"/>
              </w:rPr>
              <w:t xml:space="preserve">معلم هوشمند</w:t>
            </w:r>
          </w:p>
        </w:tc>
        <w:tc>
          <w:tcPr>
            <w:tcW w:type="dxa" w:w="6900"/>
            <w:vAlign w:val="center"/>
          </w:tcPr>
          <w:p>
            <w:pPr>
              <w:bidi/>
              <w:jc w:val="right"/>
            </w:pPr>
            <w:r>
              <w:rPr>
                <w:rFonts w:ascii="Tahoma" w:cs="Tahoma" w:eastAsia="Tahoma" w:hAnsi="Tahoma"/>
                <w:b w:val="false"/>
                <w:bCs w:val="false"/>
                <w:sz w:val="20"/>
                <w:szCs w:val="20"/>
              </w:rPr>
              <w:t xml:space="preserve">گفتگوی متنی و صوتی، همیشه در دسترس، قفل‌شده به محدودهٔ همان درس برای تمرکز واقعی.</w:t>
            </w:r>
          </w:p>
        </w:tc>
      </w:tr>
      <w:tr>
        <w:tc>
          <w:tcPr>
            <w:tcW w:type="dxa" w:w="2600"/>
            <w:shd w:fill="F5F0E6" w:val="clear"/>
            <w:vAlign w:val="center"/>
          </w:tcPr>
          <w:p>
            <w:pPr>
              <w:bidi/>
              <w:jc w:val="right"/>
            </w:pPr>
            <w:r>
              <w:rPr>
                <w:rFonts w:ascii="Tahoma" w:cs="Tahoma" w:eastAsia="Tahoma" w:hAnsi="Tahoma"/>
                <w:b/>
                <w:bCs/>
                <w:sz w:val="20"/>
                <w:szCs w:val="20"/>
              </w:rPr>
              <w:t xml:space="preserve">آزمون فصل</w:t>
            </w:r>
          </w:p>
        </w:tc>
        <w:tc>
          <w:tcPr>
            <w:tcW w:type="dxa" w:w="6900"/>
            <w:shd w:fill="F5F0E6" w:val="clear"/>
            <w:vAlign w:val="center"/>
          </w:tcPr>
          <w:p>
            <w:pPr>
              <w:bidi/>
              <w:jc w:val="right"/>
            </w:pPr>
            <w:r>
              <w:rPr>
                <w:rFonts w:ascii="Tahoma" w:cs="Tahoma" w:eastAsia="Tahoma" w:hAnsi="Tahoma"/>
                <w:b w:val="false"/>
                <w:bCs w:val="false"/>
                <w:sz w:val="20"/>
                <w:szCs w:val="20"/>
              </w:rPr>
              <w:t xml:space="preserve">سنجش خودکار در پایان هر فصل، شرط ورود به فصل بعد.</w:t>
            </w:r>
          </w:p>
        </w:tc>
      </w:tr>
      <w:tr>
        <w:tc>
          <w:tcPr>
            <w:tcW w:type="dxa" w:w="2600"/>
            <w:vAlign w:val="center"/>
          </w:tcPr>
          <w:p>
            <w:pPr>
              <w:bidi/>
              <w:jc w:val="right"/>
            </w:pPr>
            <w:r>
              <w:rPr>
                <w:rFonts w:ascii="Tahoma" w:cs="Tahoma" w:eastAsia="Tahoma" w:hAnsi="Tahoma"/>
                <w:b/>
                <w:bCs/>
                <w:sz w:val="20"/>
                <w:szCs w:val="20"/>
              </w:rPr>
              <w:t xml:space="preserve">امتحان فاینل</w:t>
            </w:r>
          </w:p>
        </w:tc>
        <w:tc>
          <w:tcPr>
            <w:tcW w:type="dxa" w:w="6900"/>
            <w:vAlign w:val="center"/>
          </w:tcPr>
          <w:p>
            <w:pPr>
              <w:bidi/>
              <w:jc w:val="right"/>
            </w:pPr>
            <w:r>
              <w:rPr>
                <w:rFonts w:ascii="Tahoma" w:cs="Tahoma" w:eastAsia="Tahoma" w:hAnsi="Tahoma"/>
                <w:b w:val="false"/>
                <w:bCs w:val="false"/>
                <w:sz w:val="20"/>
                <w:szCs w:val="20"/>
              </w:rPr>
              <w:t xml:space="preserve">امتحان رسمی چندمضمونه در پایان صنف — دروازهٔ ارتقا، با فرصت دوبارهٔ خودکار پس از ۱۵ روز در صورت عدم قبولی.</w:t>
            </w:r>
          </w:p>
        </w:tc>
      </w:tr>
      <w:tr>
        <w:tc>
          <w:tcPr>
            <w:tcW w:type="dxa" w:w="2600"/>
            <w:shd w:fill="F5F0E6" w:val="clear"/>
            <w:vAlign w:val="center"/>
          </w:tcPr>
          <w:p>
            <w:pPr>
              <w:bidi/>
              <w:jc w:val="right"/>
            </w:pPr>
            <w:r>
              <w:rPr>
                <w:rFonts w:ascii="Tahoma" w:cs="Tahoma" w:eastAsia="Tahoma" w:hAnsi="Tahoma"/>
                <w:b/>
                <w:bCs/>
                <w:sz w:val="20"/>
                <w:szCs w:val="20"/>
              </w:rPr>
              <w:t xml:space="preserve">تمرین مضامین</w:t>
            </w:r>
          </w:p>
        </w:tc>
        <w:tc>
          <w:tcPr>
            <w:tcW w:type="dxa" w:w="6900"/>
            <w:shd w:fill="F5F0E6" w:val="clear"/>
            <w:vAlign w:val="center"/>
          </w:tcPr>
          <w:p>
            <w:pPr>
              <w:bidi/>
              <w:jc w:val="right"/>
            </w:pPr>
            <w:r>
              <w:rPr>
                <w:rFonts w:ascii="Tahoma" w:cs="Tahoma" w:eastAsia="Tahoma" w:hAnsi="Tahoma"/>
                <w:b w:val="false"/>
                <w:bCs w:val="false"/>
                <w:sz w:val="20"/>
                <w:szCs w:val="20"/>
              </w:rPr>
              <w:t xml:space="preserve">امتحانات تمرینی اضافی با نمره‌دهی تشریحی هوشمند برای آمادگی بیشتر.</w:t>
            </w:r>
          </w:p>
        </w:tc>
      </w:tr>
      <w:tr>
        <w:tc>
          <w:tcPr>
            <w:tcW w:type="dxa" w:w="2600"/>
            <w:vAlign w:val="center"/>
          </w:tcPr>
          <w:p>
            <w:pPr>
              <w:bidi/>
              <w:jc w:val="right"/>
            </w:pPr>
            <w:r>
              <w:rPr>
                <w:rFonts w:ascii="Tahoma" w:cs="Tahoma" w:eastAsia="Tahoma" w:hAnsi="Tahoma"/>
                <w:b/>
                <w:bCs/>
                <w:sz w:val="20"/>
                <w:szCs w:val="20"/>
              </w:rPr>
              <w:t xml:space="preserve">مشق کاغذی هوشمند</w:t>
            </w:r>
          </w:p>
        </w:tc>
        <w:tc>
          <w:tcPr>
            <w:tcW w:type="dxa" w:w="6900"/>
            <w:vAlign w:val="center"/>
          </w:tcPr>
          <w:p>
            <w:pPr>
              <w:bidi/>
              <w:jc w:val="right"/>
            </w:pPr>
            <w:r>
              <w:rPr>
                <w:rFonts w:ascii="Tahoma" w:cs="Tahoma" w:eastAsia="Tahoma" w:hAnsi="Tahoma"/>
                <w:b w:val="false"/>
                <w:bCs w:val="false"/>
                <w:sz w:val="20"/>
                <w:szCs w:val="20"/>
              </w:rPr>
              <w:t xml:space="preserve">شاگرد از مشق دست‌نویس عکس می‌گیرد؛ هوش مصنوعی آن را می‌خواند و نمره می‌دهد.</w:t>
            </w:r>
          </w:p>
        </w:tc>
      </w:tr>
      <w:tr>
        <w:tc>
          <w:tcPr>
            <w:tcW w:type="dxa" w:w="2600"/>
            <w:shd w:fill="F5F0E6" w:val="clear"/>
            <w:vAlign w:val="center"/>
          </w:tcPr>
          <w:p>
            <w:pPr>
              <w:bidi/>
              <w:jc w:val="right"/>
            </w:pPr>
            <w:r>
              <w:rPr>
                <w:rFonts w:ascii="Tahoma" w:cs="Tahoma" w:eastAsia="Tahoma" w:hAnsi="Tahoma"/>
                <w:b/>
                <w:bCs/>
                <w:sz w:val="20"/>
                <w:szCs w:val="20"/>
              </w:rPr>
              <w:t xml:space="preserve">کتابخانه</w:t>
            </w:r>
          </w:p>
        </w:tc>
        <w:tc>
          <w:tcPr>
            <w:tcW w:type="dxa" w:w="6900"/>
            <w:shd w:fill="F5F0E6" w:val="clear"/>
            <w:vAlign w:val="center"/>
          </w:tcPr>
          <w:p>
            <w:pPr>
              <w:bidi/>
              <w:jc w:val="right"/>
            </w:pPr>
            <w:r>
              <w:rPr>
                <w:rFonts w:ascii="Tahoma" w:cs="Tahoma" w:eastAsia="Tahoma" w:hAnsi="Tahoma"/>
                <w:b w:val="false"/>
                <w:bCs w:val="false"/>
                <w:sz w:val="20"/>
                <w:szCs w:val="20"/>
              </w:rPr>
              <w:t xml:space="preserve">کتاب‌ها و جزوات قابل‌مطالعه/دانلود.</w:t>
            </w:r>
          </w:p>
        </w:tc>
      </w:tr>
      <w:tr>
        <w:tc>
          <w:tcPr>
            <w:tcW w:type="dxa" w:w="2600"/>
            <w:vAlign w:val="center"/>
          </w:tcPr>
          <w:p>
            <w:pPr>
              <w:bidi/>
              <w:jc w:val="right"/>
            </w:pPr>
            <w:r>
              <w:rPr>
                <w:rFonts w:ascii="Tahoma" w:cs="Tahoma" w:eastAsia="Tahoma" w:hAnsi="Tahoma"/>
                <w:b/>
                <w:bCs/>
                <w:sz w:val="20"/>
                <w:szCs w:val="20"/>
              </w:rPr>
              <w:t xml:space="preserve">سمینار زندهٔ ویدیویی</w:t>
            </w:r>
          </w:p>
        </w:tc>
        <w:tc>
          <w:tcPr>
            <w:tcW w:type="dxa" w:w="6900"/>
            <w:vAlign w:val="center"/>
          </w:tcPr>
          <w:p>
            <w:pPr>
              <w:bidi/>
              <w:jc w:val="right"/>
            </w:pPr>
            <w:r>
              <w:rPr>
                <w:rFonts w:ascii="Tahoma" w:cs="Tahoma" w:eastAsia="Tahoma" w:hAnsi="Tahoma"/>
                <w:b w:val="false"/>
                <w:bCs w:val="false"/>
                <w:sz w:val="20"/>
                <w:szCs w:val="20"/>
              </w:rPr>
              <w:t xml:space="preserve">کلاس گروهی زنده با استاد — کنفرانس تصویری واقعی و دوطرفه.</w:t>
            </w:r>
          </w:p>
        </w:tc>
      </w:tr>
      <w:tr>
        <w:tc>
          <w:tcPr>
            <w:tcW w:type="dxa" w:w="2600"/>
            <w:shd w:fill="F5F0E6" w:val="clear"/>
            <w:vAlign w:val="center"/>
          </w:tcPr>
          <w:p>
            <w:pPr>
              <w:bidi/>
              <w:jc w:val="right"/>
            </w:pPr>
            <w:r>
              <w:rPr>
                <w:rFonts w:ascii="Tahoma" w:cs="Tahoma" w:eastAsia="Tahoma" w:hAnsi="Tahoma"/>
                <w:b/>
                <w:bCs/>
                <w:sz w:val="20"/>
                <w:szCs w:val="20"/>
              </w:rPr>
              <w:t xml:space="preserve">گواهی‌نامه‌ها</w:t>
            </w:r>
          </w:p>
        </w:tc>
        <w:tc>
          <w:tcPr>
            <w:tcW w:type="dxa" w:w="6900"/>
            <w:shd w:fill="F5F0E6" w:val="clear"/>
            <w:vAlign w:val="center"/>
          </w:tcPr>
          <w:p>
            <w:pPr>
              <w:bidi/>
              <w:jc w:val="right"/>
            </w:pPr>
            <w:r>
              <w:rPr>
                <w:rFonts w:ascii="Tahoma" w:cs="Tahoma" w:eastAsia="Tahoma" w:hAnsi="Tahoma"/>
                <w:b w:val="false"/>
                <w:bCs w:val="false"/>
                <w:sz w:val="20"/>
                <w:szCs w:val="20"/>
              </w:rPr>
              <w:t xml:space="preserve">صدور خودکار در پایان صنف، قابل‌دانلود و تأییدپذیر با QR.</w:t>
            </w:r>
          </w:p>
        </w:tc>
      </w:tr>
      <w:tr>
        <w:tc>
          <w:tcPr>
            <w:tcW w:type="dxa" w:w="2600"/>
            <w:vAlign w:val="center"/>
          </w:tcPr>
          <w:p>
            <w:pPr>
              <w:bidi/>
              <w:jc w:val="right"/>
            </w:pPr>
            <w:r>
              <w:rPr>
                <w:rFonts w:ascii="Tahoma" w:cs="Tahoma" w:eastAsia="Tahoma" w:hAnsi="Tahoma"/>
                <w:b/>
                <w:bCs/>
                <w:sz w:val="20"/>
                <w:szCs w:val="20"/>
              </w:rPr>
              <w:t xml:space="preserve">حاضری و امتیاز/سطح</w:t>
            </w:r>
          </w:p>
        </w:tc>
        <w:tc>
          <w:tcPr>
            <w:tcW w:type="dxa" w:w="6900"/>
            <w:vAlign w:val="center"/>
          </w:tcPr>
          <w:p>
            <w:pPr>
              <w:bidi/>
              <w:jc w:val="right"/>
            </w:pPr>
            <w:r>
              <w:rPr>
                <w:rFonts w:ascii="Tahoma" w:cs="Tahoma" w:eastAsia="Tahoma" w:hAnsi="Tahoma"/>
                <w:b w:val="false"/>
                <w:bCs w:val="false"/>
                <w:sz w:val="20"/>
                <w:szCs w:val="20"/>
              </w:rPr>
              <w:t xml:space="preserve">محاسبهٔ خودکار از فعالیت واقعی — نه ثبت دستی.</w:t>
            </w:r>
          </w:p>
        </w:tc>
      </w:tr>
      <w:tr>
        <w:tc>
          <w:tcPr>
            <w:tcW w:type="dxa" w:w="2600"/>
            <w:shd w:fill="F5F0E6" w:val="clear"/>
            <w:vAlign w:val="center"/>
          </w:tcPr>
          <w:p>
            <w:pPr>
              <w:bidi/>
              <w:jc w:val="right"/>
            </w:pPr>
            <w:r>
              <w:rPr>
                <w:rFonts w:ascii="Tahoma" w:cs="Tahoma" w:eastAsia="Tahoma" w:hAnsi="Tahoma"/>
                <w:b/>
                <w:bCs/>
                <w:sz w:val="20"/>
                <w:szCs w:val="20"/>
              </w:rPr>
              <w:t xml:space="preserve">تقسیم اوقات هفتگی</w:t>
            </w:r>
          </w:p>
        </w:tc>
        <w:tc>
          <w:tcPr>
            <w:tcW w:type="dxa" w:w="6900"/>
            <w:shd w:fill="F5F0E6" w:val="clear"/>
            <w:vAlign w:val="center"/>
          </w:tcPr>
          <w:p>
            <w:pPr>
              <w:bidi/>
              <w:jc w:val="right"/>
            </w:pPr>
            <w:r>
              <w:rPr>
                <w:rFonts w:ascii="Tahoma" w:cs="Tahoma" w:eastAsia="Tahoma" w:hAnsi="Tahoma"/>
                <w:b w:val="false"/>
                <w:bCs w:val="false"/>
                <w:sz w:val="20"/>
                <w:szCs w:val="20"/>
              </w:rPr>
              <w:t xml:space="preserve">برنامهٔ مطالعهٔ هفتگی شخصی‌سازی‌شده با هوش مصنوعی.</w:t>
            </w:r>
          </w:p>
        </w:tc>
      </w:tr>
      <w:tr>
        <w:tc>
          <w:tcPr>
            <w:tcW w:type="dxa" w:w="2600"/>
            <w:vAlign w:val="center"/>
          </w:tcPr>
          <w:p>
            <w:pPr>
              <w:bidi/>
              <w:jc w:val="right"/>
            </w:pPr>
            <w:r>
              <w:rPr>
                <w:rFonts w:ascii="Tahoma" w:cs="Tahoma" w:eastAsia="Tahoma" w:hAnsi="Tahoma"/>
                <w:b/>
                <w:bCs/>
                <w:sz w:val="20"/>
                <w:szCs w:val="20"/>
              </w:rPr>
              <w:t xml:space="preserve">مشاور هوشمند</w:t>
            </w:r>
          </w:p>
        </w:tc>
        <w:tc>
          <w:tcPr>
            <w:tcW w:type="dxa" w:w="6900"/>
            <w:vAlign w:val="center"/>
          </w:tcPr>
          <w:p>
            <w:pPr>
              <w:bidi/>
              <w:jc w:val="right"/>
            </w:pPr>
            <w:r>
              <w:rPr>
                <w:rFonts w:ascii="Tahoma" w:cs="Tahoma" w:eastAsia="Tahoma" w:hAnsi="Tahoma"/>
                <w:b w:val="false"/>
                <w:bCs w:val="false"/>
                <w:sz w:val="20"/>
                <w:szCs w:val="20"/>
              </w:rPr>
              <w:t xml:space="preserve">حمایت روانی/اجتماعی/خانوادگی، با بازبینی انسانی برای موارد حساس.</w:t>
            </w:r>
          </w:p>
        </w:tc>
      </w:tr>
      <w:tr>
        <w:tc>
          <w:tcPr>
            <w:tcW w:type="dxa" w:w="2600"/>
            <w:shd w:fill="F5F0E6" w:val="clear"/>
            <w:vAlign w:val="center"/>
          </w:tcPr>
          <w:p>
            <w:pPr>
              <w:bidi/>
              <w:jc w:val="right"/>
            </w:pPr>
            <w:r>
              <w:rPr>
                <w:rFonts w:ascii="Tahoma" w:cs="Tahoma" w:eastAsia="Tahoma" w:hAnsi="Tahoma"/>
                <w:b/>
                <w:bCs/>
                <w:sz w:val="20"/>
                <w:szCs w:val="20"/>
              </w:rPr>
              <w:t xml:space="preserve">حافظهٔ جمعی</w:t>
            </w:r>
          </w:p>
        </w:tc>
        <w:tc>
          <w:tcPr>
            <w:tcW w:type="dxa" w:w="6900"/>
            <w:shd w:fill="F5F0E6" w:val="clear"/>
            <w:vAlign w:val="center"/>
          </w:tcPr>
          <w:p>
            <w:pPr>
              <w:bidi/>
              <w:jc w:val="right"/>
            </w:pPr>
            <w:r>
              <w:rPr>
                <w:rFonts w:ascii="Tahoma" w:cs="Tahoma" w:eastAsia="Tahoma" w:hAnsi="Tahoma"/>
                <w:b w:val="false"/>
                <w:bCs w:val="false"/>
                <w:sz w:val="20"/>
                <w:szCs w:val="20"/>
              </w:rPr>
              <w:t xml:space="preserve">فضای اشتراک تجربه و روایت با دیگر شاگردان.</w:t>
            </w:r>
          </w:p>
        </w:tc>
      </w:tr>
      <w:tr>
        <w:tc>
          <w:tcPr>
            <w:tcW w:type="dxa" w:w="2600"/>
            <w:vAlign w:val="center"/>
          </w:tcPr>
          <w:p>
            <w:pPr>
              <w:bidi/>
              <w:jc w:val="right"/>
            </w:pPr>
            <w:r>
              <w:rPr>
                <w:rFonts w:ascii="Tahoma" w:cs="Tahoma" w:eastAsia="Tahoma" w:hAnsi="Tahoma"/>
                <w:b/>
                <w:bCs/>
                <w:sz w:val="20"/>
                <w:szCs w:val="20"/>
              </w:rPr>
              <w:t xml:space="preserve">چت و اعلان‌ها</w:t>
            </w:r>
          </w:p>
        </w:tc>
        <w:tc>
          <w:tcPr>
            <w:tcW w:type="dxa" w:w="6900"/>
            <w:vAlign w:val="center"/>
          </w:tcPr>
          <w:p>
            <w:pPr>
              <w:bidi/>
              <w:jc w:val="right"/>
            </w:pPr>
            <w:r>
              <w:rPr>
                <w:rFonts w:ascii="Tahoma" w:cs="Tahoma" w:eastAsia="Tahoma" w:hAnsi="Tahoma"/>
                <w:b w:val="false"/>
                <w:bCs w:val="false"/>
                <w:sz w:val="20"/>
                <w:szCs w:val="20"/>
              </w:rPr>
              <w:t xml:space="preserve">گفتگو با هم‌صنفی‌ها/مدیریت، اعلان فوری رویدادها (نتیجه، سمینار تازه، و…).</w:t>
            </w:r>
          </w:p>
        </w:tc>
      </w:tr>
    </w:tbl>
    <w:p>
      <w:pPr>
        <w:pStyle w:val="Heading2"/>
        <w:bidi/>
        <w:spacing w:after="140" w:before="300"/>
        <w:jc w:val="right"/>
      </w:pPr>
      <w:r>
        <w:rPr>
          <w:rFonts w:ascii="Tahoma" w:cs="Tahoma" w:eastAsia="Tahoma" w:hAnsi="Tahoma"/>
          <w:b/>
          <w:bCs/>
          <w:color w:val="B08D57"/>
          <w:sz w:val="26"/>
          <w:szCs w:val="26"/>
        </w:rPr>
        <w:t xml:space="preserve">۴.۲ داشبورد والدین</w:t>
      </w:r>
    </w:p>
    <w:p>
      <w:pPr>
        <w:bidi/>
        <w:spacing w:after="170" w:before="0"/>
        <w:jc w:val="right"/>
      </w:pPr>
      <w:r>
        <w:rPr>
          <w:rFonts w:ascii="Tahoma" w:cs="Tahoma" w:eastAsia="Tahoma" w:hAnsi="Tahoma"/>
          <w:b w:val="false"/>
          <w:bCs w:val="false"/>
          <w:i w:val="false"/>
          <w:iCs w:val="false"/>
          <w:sz w:val="22"/>
          <w:szCs w:val="22"/>
        </w:rPr>
        <w:t xml:space="preserve">یک والد ممکن است چند فرزند در این مکتب داشته باشد؛ برای هرکدام یک بخش کاملاً جدا و شفاف وجود دارد که نتایج امتحانات، سرتیفیکیت‌ها، فیصدی پیشرفت هر مضمون، حاضری، و اشتراک واقعی در سمینارها را — همیشه به‌روز و واقعی — نمایش می‌دهد. این شفافیت، اعتماد خانواده را جلب می‌کند که شرط اصلی موفقیت برنامه در بافت فرهنگی افغانستان است.</w:t>
      </w:r>
    </w:p>
    <w:p>
      <w:pPr>
        <w:pStyle w:val="Heading2"/>
        <w:bidi/>
        <w:spacing w:after="140" w:before="300"/>
        <w:jc w:val="right"/>
      </w:pPr>
      <w:r>
        <w:rPr>
          <w:rFonts w:ascii="Tahoma" w:cs="Tahoma" w:eastAsia="Tahoma" w:hAnsi="Tahoma"/>
          <w:b/>
          <w:bCs/>
          <w:color w:val="B08D57"/>
          <w:sz w:val="26"/>
          <w:szCs w:val="26"/>
        </w:rPr>
        <w:t xml:space="preserve">۴.۳ پنل استاد سمینار</w:t>
      </w:r>
    </w:p>
    <w:p>
      <w:pPr>
        <w:bidi/>
        <w:spacing w:after="170" w:before="0"/>
        <w:jc w:val="right"/>
      </w:pPr>
      <w:r>
        <w:rPr>
          <w:rFonts w:ascii="Tahoma" w:cs="Tahoma" w:eastAsia="Tahoma" w:hAnsi="Tahoma"/>
          <w:b w:val="false"/>
          <w:bCs w:val="false"/>
          <w:i w:val="false"/>
          <w:iCs w:val="false"/>
          <w:sz w:val="22"/>
          <w:szCs w:val="22"/>
        </w:rPr>
        <w:t xml:space="preserve">استادان می‌توانند سمینار بسازند، زمان‌بندی کنند، جلسه را شروع/پایان دهند، و فهرست ثبت‌نامی‌ها را ببینند — با یک اتاق ویدیوکنفرانس واقعی و احرازهویت‌شده (نه صرفاً یک لینک عمومی و غیرقابل‌کنترل).</w:t>
      </w:r>
    </w:p>
    <w:p>
      <w:pPr>
        <w:pStyle w:val="Heading2"/>
        <w:bidi/>
        <w:spacing w:after="140" w:before="300"/>
        <w:jc w:val="right"/>
      </w:pPr>
      <w:r>
        <w:rPr>
          <w:rFonts w:ascii="Tahoma" w:cs="Tahoma" w:eastAsia="Tahoma" w:hAnsi="Tahoma"/>
          <w:b/>
          <w:bCs/>
          <w:color w:val="B08D57"/>
          <w:sz w:val="26"/>
          <w:szCs w:val="26"/>
        </w:rPr>
        <w:t xml:space="preserve">۴.۴ پنل مدیریت ارشد</w:t>
      </w:r>
    </w:p>
    <w:p>
      <w:pPr>
        <w:pStyle w:val="ListParagraph"/>
        <w:numPr>
          <w:ilvl w:val="0"/>
          <w:numId w:val="2"/>
        </w:numPr>
        <w:bidi/>
        <w:spacing w:after="90"/>
        <w:jc w:val="right"/>
      </w:pPr>
      <w:r>
        <w:rPr>
          <w:rFonts w:ascii="Tahoma" w:cs="Tahoma" w:eastAsia="Tahoma" w:hAnsi="Tahoma"/>
          <w:sz w:val="21"/>
          <w:szCs w:val="21"/>
        </w:rPr>
        <w:t xml:space="preserve">مدیریت کامل کاربران (شاگرد، والد، استاد)، کدهای دعوت، و پیوند والد-فرزند.</w:t>
      </w:r>
    </w:p>
    <w:p>
      <w:pPr>
        <w:pStyle w:val="ListParagraph"/>
        <w:numPr>
          <w:ilvl w:val="0"/>
          <w:numId w:val="2"/>
        </w:numPr>
        <w:bidi/>
        <w:spacing w:after="90"/>
        <w:jc w:val="right"/>
      </w:pPr>
      <w:r>
        <w:rPr>
          <w:rFonts w:ascii="Tahoma" w:cs="Tahoma" w:eastAsia="Tahoma" w:hAnsi="Tahoma"/>
          <w:sz w:val="21"/>
          <w:szCs w:val="21"/>
        </w:rPr>
        <w:t xml:space="preserve">مدیریت محتوای درسی (ساخت/ویرایش درس، ورود دسته‌جمعی، تولید با هوش مصنوعی).</w:t>
      </w:r>
    </w:p>
    <w:p>
      <w:pPr>
        <w:pStyle w:val="ListParagraph"/>
        <w:numPr>
          <w:ilvl w:val="0"/>
          <w:numId w:val="2"/>
        </w:numPr>
        <w:bidi/>
        <w:spacing w:after="90"/>
        <w:jc w:val="right"/>
      </w:pPr>
      <w:r>
        <w:rPr>
          <w:rFonts w:ascii="Tahoma" w:cs="Tahoma" w:eastAsia="Tahoma" w:hAnsi="Tahoma"/>
          <w:sz w:val="21"/>
          <w:szCs w:val="21"/>
        </w:rPr>
        <w:t xml:space="preserve">مدیریت امتحانات رسمی (ساخت، انتشار، تولید سؤال با AI، مشاهدهٔ نتایج).</w:t>
      </w:r>
    </w:p>
    <w:p>
      <w:pPr>
        <w:pStyle w:val="ListParagraph"/>
        <w:numPr>
          <w:ilvl w:val="0"/>
          <w:numId w:val="2"/>
        </w:numPr>
        <w:bidi/>
        <w:spacing w:after="90"/>
        <w:jc w:val="right"/>
      </w:pPr>
      <w:r>
        <w:rPr>
          <w:rFonts w:ascii="Tahoma" w:cs="Tahoma" w:eastAsia="Tahoma" w:hAnsi="Tahoma"/>
          <w:sz w:val="21"/>
          <w:szCs w:val="21"/>
        </w:rPr>
        <w:t xml:space="preserve">صف ایمنی — بازبینی گفتگوهای حساس مشاور هوشمند/چت برای محافظت واقعی از کاربران.</w:t>
      </w:r>
    </w:p>
    <w:p>
      <w:pPr>
        <w:pStyle w:val="ListParagraph"/>
        <w:numPr>
          <w:ilvl w:val="0"/>
          <w:numId w:val="2"/>
        </w:numPr>
        <w:bidi/>
        <w:spacing w:after="90"/>
        <w:jc w:val="right"/>
      </w:pPr>
      <w:r>
        <w:rPr>
          <w:rFonts w:ascii="Tahoma" w:cs="Tahoma" w:eastAsia="Tahoma" w:hAnsi="Tahoma"/>
          <w:sz w:val="21"/>
          <w:szCs w:val="21"/>
        </w:rPr>
        <w:t xml:space="preserve">گزارش‌های تحلیلی و لاگ آدیت غیرقابل‌حذف برای پاسخ‌گویی کامل.</w:t>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بخش پنجم — اثرگذاری و دعوت به حمایت</w:t>
      </w:r>
    </w:p>
    <w:p>
      <w:pPr>
        <w:bidi/>
        <w:spacing w:after="170" w:before="0"/>
        <w:jc w:val="right"/>
      </w:pPr>
      <w:r>
        <w:rPr>
          <w:rFonts w:ascii="Tahoma" w:cs="Tahoma" w:eastAsia="Tahoma" w:hAnsi="Tahoma"/>
          <w:b w:val="false"/>
          <w:bCs w:val="false"/>
          <w:i w:val="false"/>
          <w:iCs w:val="false"/>
          <w:sz w:val="22"/>
          <w:szCs w:val="22"/>
        </w:rPr>
        <w:t xml:space="preserve">هر کمک مالی مستقیماً به گسترش دسترسی تبدیل می‌شود: پوشش هزینهٔ زیرساخت هوش مصنوعی برای تعداد بیشتر شاگرد، گسترش ظرفیت سمینارهای زندهٔ ویدیویی، ترجمهٔ محتوا به زبان‌های بیشتر، و توسعهٔ امکانات تازه مثل بازبینی تفصیلی نتایج امتحان. با توجه به معماری کم‌هزینهٔ برنامه، حتی کمک‌های متوسط اثر بسیار بزرگی بر تعداد دخترانی که به تحصیل واقعی دسترسی پیدا می‌کنند، می‌گذارد.</w:t>
      </w:r>
    </w:p>
    <w:p>
      <w:pPr>
        <w:bidi/>
        <w:spacing w:after="170" w:before="0"/>
        <w:jc w:val="right"/>
      </w:pPr>
      <w:r>
        <w:rPr>
          <w:rFonts w:ascii="Tahoma" w:cs="Tahoma" w:eastAsia="Tahoma" w:hAnsi="Tahoma"/>
          <w:b w:val="false"/>
          <w:bCs w:val="false"/>
          <w:i w:val="false"/>
          <w:iCs w:val="false"/>
          <w:sz w:val="22"/>
          <w:szCs w:val="22"/>
        </w:rPr>
        <w:t xml:space="preserve">در جهانی که افغانستان تنها کشوری است که به‌طور رسمی تحصیل را از دختران دریغ می‌کند، این برنامه ثابت می‌کند یک راه واقعی و درحال‌کارِ دورزدن این محرومیت وجود دارد — نه یک وعده، بلکه یک اپلیکیشن که همین امروز، در دستِ دختران افغان، درس می‌دهد.</w:t>
      </w:r>
    </w:p>
    <w:p>
      <w:pPr>
        <w:pStyle w:val="Heading1"/>
        <w:pBdr>
          <w:bottom w:val="single" w:color="B08D57" w:sz="8" w:space="4"/>
        </w:pBdr>
        <w:bidi/>
        <w:spacing w:after="200" w:before="440"/>
        <w:jc w:val="right"/>
      </w:pPr>
      <w:r>
        <w:rPr>
          <w:rFonts w:ascii="Tahoma" w:cs="Tahoma" w:eastAsia="Tahoma" w:hAnsi="Tahoma"/>
          <w:b/>
          <w:bCs/>
          <w:color w:val="1F1B16"/>
          <w:sz w:val="32"/>
          <w:szCs w:val="32"/>
        </w:rPr>
        <w:t xml:space="preserve">منابع</w:t>
      </w:r>
    </w:p>
    <w:p>
      <w:pPr>
        <w:pStyle w:val="ListParagraph"/>
        <w:numPr>
          <w:ilvl w:val="0"/>
          <w:numId w:val="2"/>
        </w:numPr>
        <w:bidi/>
        <w:spacing w:after="90"/>
        <w:jc w:val="right"/>
      </w:pPr>
      <w:r>
        <w:rPr>
          <w:rFonts w:ascii="Tahoma" w:cs="Tahoma" w:eastAsia="Tahoma" w:hAnsi="Tahoma"/>
          <w:sz w:val="21"/>
          <w:szCs w:val="21"/>
        </w:rPr>
        <w:t xml:space="preserve">UNESCO — «Afghanistan: Four years on, 2.2 million girls still banned from school», بیانیهٔ مدیرکل، اگست ۲۰۲۵.</w:t>
      </w:r>
    </w:p>
    <w:p>
      <w:pPr>
        <w:pStyle w:val="ListParagraph"/>
        <w:numPr>
          <w:ilvl w:val="0"/>
          <w:numId w:val="2"/>
        </w:numPr>
        <w:bidi/>
        <w:spacing w:after="90"/>
        <w:jc w:val="right"/>
      </w:pPr>
      <w:r>
        <w:rPr>
          <w:rFonts w:ascii="Tahoma" w:cs="Tahoma" w:eastAsia="Tahoma" w:hAnsi="Tahoma"/>
          <w:sz w:val="21"/>
          <w:szCs w:val="21"/>
        </w:rPr>
        <w:t xml:space="preserve">UNESCO &amp; UNICEF — «Urge action to protect the right to education in Afghanistan».</w:t>
      </w:r>
    </w:p>
    <w:p>
      <w:pPr>
        <w:pStyle w:val="ListParagraph"/>
        <w:numPr>
          <w:ilvl w:val="0"/>
          <w:numId w:val="2"/>
        </w:numPr>
        <w:bidi/>
        <w:spacing w:after="90"/>
        <w:jc w:val="right"/>
      </w:pPr>
      <w:r>
        <w:rPr>
          <w:rFonts w:ascii="Tahoma" w:cs="Tahoma" w:eastAsia="Tahoma" w:hAnsi="Tahoma"/>
          <w:sz w:val="21"/>
          <w:szCs w:val="21"/>
        </w:rPr>
        <w:t xml:space="preserve">UNICEF Innocenti — «The Costs of Inaction: Afghanistan», آوریل ۲۰۲۶.</w:t>
      </w:r>
    </w:p>
    <w:p>
      <w:pPr>
        <w:pStyle w:val="ListParagraph"/>
        <w:numPr>
          <w:ilvl w:val="0"/>
          <w:numId w:val="2"/>
        </w:numPr>
        <w:bidi/>
        <w:spacing w:after="90"/>
        <w:jc w:val="right"/>
      </w:pPr>
      <w:r>
        <w:rPr>
          <w:rFonts w:ascii="Tahoma" w:cs="Tahoma" w:eastAsia="Tahoma" w:hAnsi="Tahoma"/>
          <w:sz w:val="21"/>
          <w:szCs w:val="21"/>
        </w:rPr>
        <w:t xml:space="preserve">UNICEF — «Restrictions on girls' education and women's employment in Afghanistan could lead to a loss of over 25,000 female teachers and health workers by 2030».</w:t>
      </w:r>
    </w:p>
    <w:p>
      <w:pPr>
        <w:pStyle w:val="ListParagraph"/>
        <w:numPr>
          <w:ilvl w:val="0"/>
          <w:numId w:val="2"/>
        </w:numPr>
        <w:bidi/>
        <w:spacing w:after="90"/>
        <w:jc w:val="right"/>
      </w:pPr>
      <w:r>
        <w:rPr>
          <w:rFonts w:ascii="Tahoma" w:cs="Tahoma" w:eastAsia="Tahoma" w:hAnsi="Tahoma"/>
          <w:sz w:val="21"/>
          <w:szCs w:val="21"/>
        </w:rPr>
        <w:t xml:space="preserve">DataReportal — «Digital 2026: Afghanistan».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2026-07-25T02:48:20.868Z</dcterms:created>
  <dcterms:modified xsi:type="dcterms:W3CDTF">2026-07-25T02:48:20.868Z</dcterms:modified>
</cp:coreProperties>
</file>

<file path=docProps/custom.xml><?xml version="1.0" encoding="utf-8"?>
<Properties xmlns="http://schemas.openxmlformats.org/officeDocument/2006/custom-properties" xmlns:vt="http://schemas.openxmlformats.org/officeDocument/2006/docPropsVTypes"/>
</file>