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AC4643" wp14:paraId="2C078E63" wp14:textId="101503FF">
      <w:pPr>
        <w:pStyle w:val="Heading1"/>
      </w:pPr>
      <w:r w:rsidRPr="5FAC4643" w:rsidR="0BFC789F">
        <w:rPr>
          <w:noProof w:val="0"/>
          <w:lang w:val="en-US"/>
        </w:rPr>
        <w:t>Vendor Risk Summary (EXECUTIVE LEVEL)</w:t>
      </w:r>
    </w:p>
    <w:p w:rsidR="5FAC4643" w:rsidP="5FAC4643" w:rsidRDefault="5FAC4643" w14:paraId="1A83BB9E" w14:textId="15002813">
      <w:pPr>
        <w:pStyle w:val="Normal"/>
        <w:rPr>
          <w:noProof w:val="0"/>
          <w:lang w:val="en-US"/>
        </w:rPr>
      </w:pPr>
    </w:p>
    <w:p w:rsidR="0BFC789F" w:rsidP="5FAC4643" w:rsidRDefault="0BFC789F" w14:paraId="185F3A37" w14:textId="69E04F52">
      <w:pPr>
        <w:pStyle w:val="Normal"/>
        <w:rPr>
          <w:noProof w:val="0"/>
          <w:lang w:val="en-US"/>
        </w:rPr>
      </w:pPr>
      <w:r w:rsidRPr="5FAC4643" w:rsidR="0BFC789F">
        <w:rPr>
          <w:noProof w:val="0"/>
          <w:lang w:val="en-US"/>
        </w:rPr>
        <w:t>This assessment evaluates third-party vendor risks associated with the system, with a primary focus on payment processing services.</w:t>
      </w:r>
    </w:p>
    <w:p w:rsidR="0BFC789F" w:rsidP="5FAC4643" w:rsidRDefault="0BFC789F" w14:paraId="30E08D0E" w14:textId="383640DE">
      <w:pPr>
        <w:pStyle w:val="Normal"/>
      </w:pPr>
      <w:r w:rsidRPr="5FAC4643" w:rsidR="0BFC789F">
        <w:rPr>
          <w:b w:val="1"/>
          <w:bCs w:val="1"/>
          <w:noProof w:val="0"/>
          <w:lang w:val="en-US"/>
        </w:rPr>
        <w:t>Stripe</w:t>
      </w:r>
      <w:r w:rsidRPr="5FAC4643" w:rsidR="0BFC789F">
        <w:rPr>
          <w:noProof w:val="0"/>
          <w:lang w:val="en-US"/>
        </w:rPr>
        <w:t xml:space="preserve"> is identified as a critical vendor due to its access to sensitive customer and payment data.</w:t>
      </w:r>
    </w:p>
    <w:p w:rsidR="0BFC789F" w:rsidP="5FAC4643" w:rsidRDefault="0BFC789F" w14:paraId="61640BDF" w14:textId="05E0B3E9">
      <w:pPr>
        <w:pStyle w:val="Normal"/>
      </w:pPr>
      <w:r w:rsidRPr="5FAC4643" w:rsidR="0BFC789F">
        <w:rPr>
          <w:noProof w:val="0"/>
          <w:lang w:val="en-US"/>
        </w:rPr>
        <w:t>Key risks include payment data exposure, service downtime, and API compromise.</w:t>
      </w:r>
    </w:p>
    <w:p w:rsidR="0BFC789F" w:rsidP="5FAC4643" w:rsidRDefault="0BFC789F" w14:paraId="19A30823" w14:textId="5899E36D">
      <w:pPr>
        <w:pStyle w:val="Normal"/>
      </w:pPr>
      <w:r w:rsidRPr="5FAC4643" w:rsidR="0BFC789F">
        <w:rPr>
          <w:noProof w:val="0"/>
          <w:lang w:val="en-US"/>
        </w:rPr>
        <w:t>While core security controls such as encryption and authentication are implemented, limited visibility into vendor operations introduces residual risk.</w:t>
      </w:r>
    </w:p>
    <w:p w:rsidR="0BFC789F" w:rsidP="5FAC4643" w:rsidRDefault="0BFC789F" w14:paraId="197CA848" w14:textId="424CC48A">
      <w:pPr>
        <w:pStyle w:val="Normal"/>
      </w:pPr>
      <w:r w:rsidRPr="5FAC4643" w:rsidR="0BFC789F">
        <w:rPr>
          <w:noProof w:val="0"/>
          <w:lang w:val="en-US"/>
        </w:rPr>
        <w:t xml:space="preserve">Residual risk </w:t>
      </w:r>
      <w:r w:rsidRPr="5FAC4643" w:rsidR="0BFC789F">
        <w:rPr>
          <w:noProof w:val="0"/>
          <w:lang w:val="en-US"/>
        </w:rPr>
        <w:t>remains</w:t>
      </w:r>
      <w:r w:rsidRPr="5FAC4643" w:rsidR="0BFC789F">
        <w:rPr>
          <w:noProof w:val="0"/>
          <w:lang w:val="en-US"/>
        </w:rPr>
        <w:t xml:space="preserve"> due to dependency on third-party controls and limited visibility into vendor internal processes.</w:t>
      </w:r>
    </w:p>
    <w:p w:rsidR="0BFC789F" w:rsidP="5FAC4643" w:rsidRDefault="0BFC789F" w14:paraId="3B326C3F" w14:textId="382E9C90">
      <w:pPr>
        <w:pStyle w:val="Normal"/>
      </w:pPr>
      <w:r w:rsidRPr="5FAC4643" w:rsidR="0BFC789F">
        <w:rPr>
          <w:noProof w:val="0"/>
          <w:lang w:val="en-US"/>
        </w:rPr>
        <w:t>This assessment emphasizes the importance of continuous monitoring and periodic reassessment of vendor risks.</w:t>
      </w:r>
    </w:p>
    <w:p w:rsidR="0BFC789F" w:rsidP="5FAC4643" w:rsidRDefault="0BFC789F" w14:paraId="2EC220E5" w14:textId="08DE7D56">
      <w:pPr>
        <w:pStyle w:val="Normal"/>
      </w:pPr>
      <w:r w:rsidRPr="5FAC4643" w:rsidR="0BFC789F">
        <w:rPr>
          <w:noProof w:val="0"/>
          <w:lang w:val="en-US"/>
        </w:rPr>
        <w:t>It is recommended to implement formal vendor risk management processes, including security reviews, monitoring mechanisms, and contractual safeguards such as SLAs and data protection clauses.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6261E2"/>
    <w:rsid w:val="05FFF906"/>
    <w:rsid w:val="0BFC789F"/>
    <w:rsid w:val="326261E2"/>
    <w:rsid w:val="5FAC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261E2"/>
  <w15:chartTrackingRefBased/>
  <w15:docId w15:val="{9FE45989-3787-4300-B161-996F59BBE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AC46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2026-04-14T05:23:04.8373997Z</dcterms:created>
  <dcterms:modified xsi:type="dcterms:W3CDTF">2026-04-14T05:50:57.3917985Z</dcterms:modified>
  <dc:creator>Ali Rıza Sevgili</dc:creator>
  <lastModifiedBy>Ali Rıza Sevgili</lastModifiedBy>
</coreProperties>
</file>