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512AC49" w:rsidP="0BE241B8" w:rsidRDefault="0512AC49" w14:paraId="6A354975" w14:textId="61FEB35F">
      <w:pPr>
        <w:pStyle w:val="Heading1"/>
        <w:spacing w:before="80" w:beforeAutospacing="off" w:line="240" w:lineRule="auto"/>
        <w:rPr>
          <w:noProof w:val="0"/>
          <w:color w:val="155F81"/>
          <w:lang w:val="en-US"/>
        </w:rPr>
      </w:pPr>
      <w:r w:rsidRPr="0BE241B8" w:rsidR="74CD6028">
        <w:rPr>
          <w:noProof w:val="0"/>
          <w:color w:val="155F81"/>
          <w:lang w:val="en-US"/>
        </w:rPr>
        <w:t xml:space="preserve">ITGC Controls Assessment &amp; Access Governance Review for a Live </w:t>
      </w:r>
      <w:r w:rsidRPr="0BE241B8" w:rsidR="03C36969">
        <w:rPr>
          <w:noProof w:val="0"/>
          <w:color w:val="155F81"/>
          <w:lang w:val="en-US"/>
        </w:rPr>
        <w:t>e</w:t>
      </w:r>
      <w:r w:rsidRPr="0BE241B8" w:rsidR="74CD6028">
        <w:rPr>
          <w:noProof w:val="0"/>
          <w:color w:val="155F81"/>
          <w:lang w:val="en-US"/>
        </w:rPr>
        <w:t>-commerce Platform</w:t>
      </w:r>
    </w:p>
    <w:p w:rsidR="0BE241B8" w:rsidP="0BE241B8" w:rsidRDefault="0BE241B8" w14:paraId="53C25C6D" w14:textId="04248198">
      <w:pPr>
        <w:pStyle w:val="Normal"/>
        <w:rPr>
          <w:noProof w:val="0"/>
          <w:lang w:val="en-US"/>
        </w:rPr>
      </w:pPr>
    </w:p>
    <w:p w:rsidR="6CE201DB" w:rsidP="0512AC49" w:rsidRDefault="6CE201DB" w14:paraId="0441BDBE" w14:textId="57EB59DF">
      <w:pPr>
        <w:pStyle w:val="Heading2"/>
      </w:pPr>
      <w:r w:rsidRPr="0BE241B8" w:rsidR="750166BE">
        <w:rPr>
          <w:noProof w:val="0"/>
          <w:lang w:val="en-US"/>
        </w:rPr>
        <w:t>1. PROJECT OVERVIEW</w:t>
      </w:r>
    </w:p>
    <w:p w:rsidR="0512AC49" w:rsidP="0BE241B8" w:rsidRDefault="0512AC49" w14:paraId="2059AF57" w14:textId="1D5FFE8F">
      <w:pPr>
        <w:spacing w:before="240" w:beforeAutospacing="off" w:after="240" w:afterAutospacing="off"/>
        <w:rPr>
          <w:rFonts w:ascii="Calibri" w:hAnsi="Calibri" w:eastAsia="Calibri" w:cs="Calibri"/>
          <w:noProof w:val="0"/>
          <w:sz w:val="24"/>
          <w:szCs w:val="24"/>
          <w:lang w:val="en-US"/>
        </w:rPr>
      </w:pPr>
      <w:r w:rsidRPr="0BE241B8" w:rsidR="55D9C20A">
        <w:rPr>
          <w:rFonts w:ascii="Calibri" w:hAnsi="Calibri" w:eastAsia="Calibri" w:cs="Calibri"/>
          <w:noProof w:val="0"/>
          <w:sz w:val="24"/>
          <w:szCs w:val="24"/>
          <w:lang w:val="en-US"/>
        </w:rPr>
        <w:t xml:space="preserve">This project evaluates the IT General Controls (ITGC) environment of a live e-commerce platform used for pottery class bookings and customer transactions on </w:t>
      </w:r>
      <w:hyperlink r:id="Rb3c04b318a774076">
        <w:r w:rsidRPr="0BE241B8" w:rsidR="55D9C20A">
          <w:rPr>
            <w:rStyle w:val="Hyperlink"/>
            <w:rFonts w:ascii="Calibri" w:hAnsi="Calibri" w:eastAsia="Calibri" w:cs="Calibri"/>
            <w:noProof w:val="0"/>
            <w:sz w:val="24"/>
            <w:szCs w:val="24"/>
            <w:lang w:val="en-US"/>
          </w:rPr>
          <w:t>heartpotterystudios.com.</w:t>
        </w:r>
      </w:hyperlink>
    </w:p>
    <w:p w:rsidR="0512AC49" w:rsidP="0BE241B8" w:rsidRDefault="0512AC49" w14:paraId="40CBC2F9" w14:textId="63478CCD">
      <w:pPr>
        <w:pStyle w:val="Normal"/>
        <w:spacing w:before="240" w:beforeAutospacing="off" w:after="240" w:afterAutospacing="off"/>
      </w:pPr>
      <w:r w:rsidRPr="0BE241B8" w:rsidR="55D9C20A">
        <w:rPr>
          <w:rFonts w:ascii="Calibri" w:hAnsi="Calibri" w:eastAsia="Calibri" w:cs="Calibri"/>
          <w:noProof w:val="0"/>
          <w:sz w:val="24"/>
          <w:szCs w:val="24"/>
          <w:lang w:val="en-US"/>
        </w:rPr>
        <w:t xml:space="preserve"> </w:t>
      </w:r>
      <w:r w:rsidRPr="0BE241B8" w:rsidR="55D9C20A">
        <w:rPr>
          <w:rFonts w:ascii="Calibri" w:hAnsi="Calibri" w:eastAsia="Calibri" w:cs="Calibri"/>
          <w:noProof w:val="0"/>
          <w:sz w:val="24"/>
          <w:szCs w:val="24"/>
          <w:lang w:val="en-US"/>
        </w:rPr>
        <w:t>The assessment focuses on key control areas including access governance, change management, logging and monitoring, and the handling of customer personally identifiable information (PII). The system integrates with a third-party payment processor, Stripe, to process customer payments.</w:t>
      </w:r>
    </w:p>
    <w:p w:rsidR="0512AC49" w:rsidP="0BE241B8" w:rsidRDefault="0512AC49" w14:paraId="4A174DE9" w14:textId="04D8C05C">
      <w:pPr>
        <w:pStyle w:val="Normal"/>
        <w:spacing w:before="240" w:beforeAutospacing="off" w:after="240" w:afterAutospacing="off"/>
        <w:rPr>
          <w:rFonts w:ascii="Calibri" w:hAnsi="Calibri" w:eastAsia="Calibri" w:cs="Calibri"/>
          <w:noProof w:val="0"/>
          <w:sz w:val="24"/>
          <w:szCs w:val="24"/>
          <w:lang w:val="en-US"/>
        </w:rPr>
      </w:pPr>
      <w:r w:rsidRPr="0BE241B8" w:rsidR="55D9C20A">
        <w:rPr>
          <w:rFonts w:ascii="Calibri" w:hAnsi="Calibri" w:eastAsia="Calibri" w:cs="Calibri"/>
          <w:noProof w:val="0"/>
          <w:sz w:val="24"/>
          <w:szCs w:val="24"/>
          <w:lang w:val="en-US"/>
        </w:rPr>
        <w:t xml:space="preserve"> </w:t>
      </w:r>
      <w:r w:rsidRPr="0BE241B8" w:rsidR="55D9C20A">
        <w:rPr>
          <w:rFonts w:ascii="Calibri" w:hAnsi="Calibri" w:eastAsia="Calibri" w:cs="Calibri"/>
          <w:noProof w:val="0"/>
          <w:sz w:val="24"/>
          <w:szCs w:val="24"/>
          <w:lang w:val="en-US"/>
        </w:rPr>
        <w:t xml:space="preserve">The </w:t>
      </w:r>
      <w:r w:rsidRPr="0BE241B8" w:rsidR="55D9C20A">
        <w:rPr>
          <w:rFonts w:ascii="Calibri" w:hAnsi="Calibri" w:eastAsia="Calibri" w:cs="Calibri"/>
          <w:noProof w:val="0"/>
          <w:sz w:val="24"/>
          <w:szCs w:val="24"/>
          <w:lang w:val="en-US"/>
        </w:rPr>
        <w:t>objective</w:t>
      </w:r>
      <w:r w:rsidRPr="0BE241B8" w:rsidR="55D9C20A">
        <w:rPr>
          <w:rFonts w:ascii="Calibri" w:hAnsi="Calibri" w:eastAsia="Calibri" w:cs="Calibri"/>
          <w:noProof w:val="0"/>
          <w:sz w:val="24"/>
          <w:szCs w:val="24"/>
          <w:lang w:val="en-US"/>
        </w:rPr>
        <w:t xml:space="preserve"> of this assessment is to </w:t>
      </w:r>
      <w:r w:rsidRPr="0BE241B8" w:rsidR="55D9C20A">
        <w:rPr>
          <w:rFonts w:ascii="Calibri" w:hAnsi="Calibri" w:eastAsia="Calibri" w:cs="Calibri"/>
          <w:noProof w:val="0"/>
          <w:sz w:val="24"/>
          <w:szCs w:val="24"/>
          <w:lang w:val="en-US"/>
        </w:rPr>
        <w:t>identify</w:t>
      </w:r>
      <w:r w:rsidRPr="0BE241B8" w:rsidR="55D9C20A">
        <w:rPr>
          <w:rFonts w:ascii="Calibri" w:hAnsi="Calibri" w:eastAsia="Calibri" w:cs="Calibri"/>
          <w:noProof w:val="0"/>
          <w:sz w:val="24"/>
          <w:szCs w:val="24"/>
          <w:lang w:val="en-US"/>
        </w:rPr>
        <w:t xml:space="preserve"> control gaps, assess risks, and provide practical recommendations to improve the overall control environment and reduce operational and data-related </w:t>
      </w:r>
      <w:r w:rsidRPr="0BE241B8" w:rsidR="55D9C20A">
        <w:rPr>
          <w:rFonts w:ascii="Calibri" w:hAnsi="Calibri" w:eastAsia="Calibri" w:cs="Calibri"/>
          <w:noProof w:val="0"/>
          <w:sz w:val="24"/>
          <w:szCs w:val="24"/>
          <w:lang w:val="en-US"/>
        </w:rPr>
        <w:t>risks.</w:t>
      </w:r>
    </w:p>
    <w:p w:rsidR="0512AC49" w:rsidP="0BE241B8" w:rsidRDefault="0512AC49" w14:paraId="1B4DE694" w14:textId="5ECEB178">
      <w:pPr>
        <w:pStyle w:val="Heading2"/>
      </w:pPr>
      <w:r w:rsidRPr="0BE241B8" w:rsidR="322DB3C1">
        <w:rPr>
          <w:noProof w:val="0"/>
          <w:lang w:val="en-US"/>
        </w:rPr>
        <w:t>2. OBJECTIVES</w:t>
      </w:r>
    </w:p>
    <w:p w:rsidR="6F8F3E5D" w:rsidP="0BE241B8" w:rsidRDefault="6F8F3E5D" w14:paraId="4B57F8D5" w14:textId="1F59CE74">
      <w:pPr>
        <w:pStyle w:val="Normal"/>
        <w:rPr>
          <w:noProof w:val="0"/>
          <w:lang w:val="en-US"/>
        </w:rPr>
      </w:pPr>
      <w:r w:rsidRPr="0BE241B8" w:rsidR="6F8F3E5D">
        <w:rPr>
          <w:noProof w:val="0"/>
          <w:lang w:val="en-US"/>
        </w:rPr>
        <w:t xml:space="preserve">The </w:t>
      </w:r>
      <w:r w:rsidRPr="0BE241B8" w:rsidR="6F8F3E5D">
        <w:rPr>
          <w:noProof w:val="0"/>
          <w:lang w:val="en-US"/>
        </w:rPr>
        <w:t>objectives</w:t>
      </w:r>
      <w:r w:rsidRPr="0BE241B8" w:rsidR="6F8F3E5D">
        <w:rPr>
          <w:noProof w:val="0"/>
          <w:lang w:val="en-US"/>
        </w:rPr>
        <w:t xml:space="preserve"> of this assessment are:</w:t>
      </w:r>
    </w:p>
    <w:p w:rsidR="6F8F3E5D" w:rsidP="0BE241B8" w:rsidRDefault="6F8F3E5D" w14:paraId="3034D780" w14:textId="3526A06C">
      <w:pPr>
        <w:pStyle w:val="Normal"/>
      </w:pPr>
      <w:r w:rsidRPr="0BE241B8" w:rsidR="6F8F3E5D">
        <w:rPr>
          <w:noProof w:val="0"/>
          <w:lang w:val="en-US"/>
        </w:rPr>
        <w:t xml:space="preserve">- To evaluate the current IT General Controls (ITGC) environment of the platform  </w:t>
      </w:r>
    </w:p>
    <w:p w:rsidR="6F8F3E5D" w:rsidP="0BE241B8" w:rsidRDefault="6F8F3E5D" w14:paraId="000F8D63" w14:textId="4C35F8AD">
      <w:pPr>
        <w:pStyle w:val="Normal"/>
      </w:pPr>
      <w:r w:rsidRPr="0BE241B8" w:rsidR="6F8F3E5D">
        <w:rPr>
          <w:noProof w:val="0"/>
          <w:lang w:val="en-US"/>
        </w:rPr>
        <w:t xml:space="preserve">- To identify key risks related to access, data handling, and system changes  </w:t>
      </w:r>
    </w:p>
    <w:p w:rsidR="6F8F3E5D" w:rsidP="0BE241B8" w:rsidRDefault="6F8F3E5D" w14:paraId="146F157A" w14:textId="7E1FC92F">
      <w:pPr>
        <w:pStyle w:val="Normal"/>
      </w:pPr>
      <w:r w:rsidRPr="0BE241B8" w:rsidR="6F8F3E5D">
        <w:rPr>
          <w:noProof w:val="0"/>
          <w:lang w:val="en-US"/>
        </w:rPr>
        <w:t xml:space="preserve">- To assess the design and, where applicable, the operating effectiveness of existing controls  </w:t>
      </w:r>
    </w:p>
    <w:p w:rsidR="6F8F3E5D" w:rsidP="0BE241B8" w:rsidRDefault="6F8F3E5D" w14:paraId="1F0D5A70" w14:textId="22FA5D03">
      <w:pPr>
        <w:pStyle w:val="Normal"/>
      </w:pPr>
      <w:r w:rsidRPr="0BE241B8" w:rsidR="6F8F3E5D">
        <w:rPr>
          <w:noProof w:val="0"/>
          <w:lang w:val="en-US"/>
        </w:rPr>
        <w:t xml:space="preserve">- To identify control gaps and weaknesses in the system  </w:t>
      </w:r>
    </w:p>
    <w:p w:rsidR="6F8F3E5D" w:rsidP="0BE241B8" w:rsidRDefault="6F8F3E5D" w14:paraId="59791516" w14:textId="7E9597DD">
      <w:pPr>
        <w:pStyle w:val="Normal"/>
      </w:pPr>
      <w:r w:rsidRPr="0BE241B8" w:rsidR="6F8F3E5D">
        <w:rPr>
          <w:noProof w:val="0"/>
          <w:lang w:val="en-US"/>
        </w:rPr>
        <w:t xml:space="preserve">- To provide practical remediation recommendations to improve control maturity and reduce risk exposure  </w:t>
      </w:r>
    </w:p>
    <w:p w:rsidR="53781AE7" w:rsidP="0BE241B8" w:rsidRDefault="53781AE7" w14:paraId="6BA19B6A" w14:textId="7F7BD197">
      <w:pPr>
        <w:pStyle w:val="Heading2"/>
      </w:pPr>
      <w:r w:rsidRPr="0BE241B8" w:rsidR="53781AE7">
        <w:rPr>
          <w:noProof w:val="0"/>
          <w:lang w:val="en-US"/>
        </w:rPr>
        <w:t>3. SCOPE</w:t>
      </w:r>
    </w:p>
    <w:p w:rsidR="53781AE7" w:rsidP="0BE241B8" w:rsidRDefault="53781AE7" w14:paraId="5E118126" w14:textId="71712DFF">
      <w:pPr>
        <w:pStyle w:val="Heading3"/>
      </w:pPr>
      <w:r w:rsidRPr="0BE241B8" w:rsidR="53781AE7">
        <w:rPr>
          <w:noProof w:val="0"/>
          <w:lang w:val="en-US"/>
        </w:rPr>
        <w:t>3.1 In Scope</w:t>
      </w:r>
    </w:p>
    <w:p w:rsidR="53781AE7" w:rsidP="0BE241B8" w:rsidRDefault="53781AE7" w14:paraId="43010FE0" w14:textId="1063A349">
      <w:pPr>
        <w:spacing w:before="240" w:beforeAutospacing="off" w:after="240" w:afterAutospacing="off"/>
      </w:pPr>
      <w:r w:rsidRPr="0BE241B8" w:rsidR="53781AE7">
        <w:rPr>
          <w:rFonts w:ascii="Calibri" w:hAnsi="Calibri" w:eastAsia="Calibri" w:cs="Calibri"/>
          <w:noProof w:val="0"/>
          <w:sz w:val="24"/>
          <w:szCs w:val="24"/>
          <w:lang w:val="en-US"/>
        </w:rPr>
        <w:t>The following components and processes are included in the scope of this assessment:</w:t>
      </w:r>
    </w:p>
    <w:p w:rsidR="53781AE7" w:rsidP="0BE241B8" w:rsidRDefault="53781AE7" w14:paraId="3577FB15" w14:textId="57F0DB24">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Public-facing checkout and transaction processes </w:t>
      </w:r>
    </w:p>
    <w:p w:rsidR="53781AE7" w:rsidP="0BE241B8" w:rsidRDefault="53781AE7" w14:paraId="6F6A8530" w14:textId="683FB47C">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Customer data collection, processing, and storage (PII) </w:t>
      </w:r>
    </w:p>
    <w:p w:rsidR="788AECD1" w:rsidP="0BE241B8" w:rsidRDefault="788AECD1" w14:paraId="751A85DA" w14:textId="6A7A307D">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788AECD1">
        <w:rPr>
          <w:rFonts w:ascii="Calibri" w:hAnsi="Calibri" w:eastAsia="Calibri" w:cs="Calibri"/>
          <w:noProof w:val="0"/>
          <w:sz w:val="24"/>
          <w:szCs w:val="24"/>
          <w:lang w:val="en-US"/>
        </w:rPr>
        <w:t>Integration with third-party payment processor (Stripe hosted checkout)</w:t>
      </w:r>
    </w:p>
    <w:p w:rsidR="53781AE7" w:rsidP="0BE241B8" w:rsidRDefault="53781AE7" w14:paraId="4518360D" w14:textId="09D2F4FF">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Source code management and version control practices </w:t>
      </w:r>
    </w:p>
    <w:p w:rsidR="53781AE7" w:rsidP="0BE241B8" w:rsidRDefault="53781AE7" w14:paraId="5BF506D0" w14:textId="27591B1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Deployment processes and production environment (Render) </w:t>
      </w:r>
    </w:p>
    <w:p w:rsidR="53781AE7" w:rsidP="0BE241B8" w:rsidRDefault="53781AE7" w14:paraId="0E0C9709" w14:textId="036F3C2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Logging and monitoring mechanisms </w:t>
      </w:r>
    </w:p>
    <w:p w:rsidR="53781AE7" w:rsidP="0BE241B8" w:rsidRDefault="53781AE7" w14:paraId="53570A70" w14:textId="087DE3DB">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Contact form data handling</w:t>
      </w:r>
    </w:p>
    <w:p w:rsidR="53781AE7" w:rsidP="0BE241B8" w:rsidRDefault="53781AE7" w14:paraId="05B91CE8" w14:textId="04B3FF8A">
      <w:pPr>
        <w:pStyle w:val="Heading3"/>
        <w:spacing w:before="80" w:beforeAutospacing="off" w:line="240" w:lineRule="auto"/>
      </w:pPr>
      <w:r w:rsidRPr="0BE241B8" w:rsidR="53781AE7">
        <w:rPr>
          <w:noProof w:val="0"/>
          <w:lang w:val="en-US"/>
        </w:rPr>
        <w:t>3.2 Out of Scope</w:t>
      </w:r>
    </w:p>
    <w:p w:rsidR="53781AE7" w:rsidP="0BE241B8" w:rsidRDefault="53781AE7" w14:paraId="42DA696A" w14:textId="3437D96A">
      <w:pPr>
        <w:spacing w:before="240" w:beforeAutospacing="off" w:after="240" w:afterAutospacing="off"/>
      </w:pPr>
      <w:r w:rsidRPr="0BE241B8" w:rsidR="53781AE7">
        <w:rPr>
          <w:rFonts w:ascii="Calibri" w:hAnsi="Calibri" w:eastAsia="Calibri" w:cs="Calibri"/>
          <w:noProof w:val="0"/>
          <w:sz w:val="24"/>
          <w:szCs w:val="24"/>
          <w:lang w:val="en-US"/>
        </w:rPr>
        <w:t>The following areas are excluded from this assessment:</w:t>
      </w:r>
    </w:p>
    <w:p w:rsidR="53781AE7" w:rsidP="0BE241B8" w:rsidRDefault="53781AE7" w14:paraId="1A256856" w14:textId="0D7892A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Full penetration testing or vulnerability scanning </w:t>
      </w:r>
    </w:p>
    <w:p w:rsidR="53781AE7" w:rsidP="0BE241B8" w:rsidRDefault="53781AE7" w14:paraId="0E70F172" w14:textId="256529BE">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Network and infrastructure-level security controls </w:t>
      </w:r>
    </w:p>
    <w:p w:rsidR="53781AE7" w:rsidP="0BE241B8" w:rsidRDefault="53781AE7" w14:paraId="7D076A32" w14:textId="4CB38A16">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Internal controls of Stripe </w:t>
      </w:r>
    </w:p>
    <w:p w:rsidR="53781AE7" w:rsidP="0BE241B8" w:rsidRDefault="53781AE7" w14:paraId="2A59F07F" w14:textId="5BABFCA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 xml:space="preserve">Formal legal or regulatory compliance certification (e.g., GDPR, SOC 2) </w:t>
      </w:r>
    </w:p>
    <w:p w:rsidR="53781AE7" w:rsidP="0BE241B8" w:rsidRDefault="53781AE7" w14:paraId="680F1357" w14:textId="18679A0F">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BE241B8" w:rsidR="53781AE7">
        <w:rPr>
          <w:rFonts w:ascii="Calibri" w:hAnsi="Calibri" w:eastAsia="Calibri" w:cs="Calibri"/>
          <w:noProof w:val="0"/>
          <w:sz w:val="24"/>
          <w:szCs w:val="24"/>
          <w:lang w:val="en-US"/>
        </w:rPr>
        <w:t>Detailed secure code review</w:t>
      </w:r>
    </w:p>
    <w:p w:rsidR="777BBF9C" w:rsidP="0BE241B8" w:rsidRDefault="777BBF9C" w14:paraId="2B9B9033" w14:textId="255324F5">
      <w:pPr>
        <w:pStyle w:val="Heading2"/>
      </w:pPr>
      <w:r w:rsidRPr="0BE241B8" w:rsidR="777BBF9C">
        <w:rPr>
          <w:noProof w:val="0"/>
          <w:lang w:val="en-US"/>
        </w:rPr>
        <w:t>4. SYSTEM CONTEXT</w:t>
      </w:r>
    </w:p>
    <w:p w:rsidR="16504A81" w:rsidP="0BE241B8" w:rsidRDefault="16504A81" w14:paraId="63D1B7B0" w14:textId="04F66CE5">
      <w:pPr>
        <w:pStyle w:val="Normal"/>
        <w:rPr>
          <w:noProof w:val="0"/>
          <w:lang w:val="en-US"/>
        </w:rPr>
      </w:pPr>
      <w:r w:rsidRPr="0BE241B8" w:rsidR="16504A81">
        <w:rPr>
          <w:noProof w:val="0"/>
          <w:lang w:val="en-US"/>
        </w:rPr>
        <w:t>The system is a live production e-commerce platform currently operating without a fully implemented authentication and access control framework.</w:t>
      </w:r>
    </w:p>
    <w:p w:rsidR="16504A81" w:rsidP="0BE241B8" w:rsidRDefault="16504A81" w14:paraId="4513120A" w14:textId="0E8B1B54">
      <w:pPr>
        <w:pStyle w:val="Normal"/>
      </w:pPr>
      <w:r w:rsidRPr="0BE241B8" w:rsidR="16504A81">
        <w:rPr>
          <w:noProof w:val="0"/>
          <w:lang w:val="en-US"/>
        </w:rPr>
        <w:t xml:space="preserve"> </w:t>
      </w:r>
      <w:r w:rsidRPr="0BE241B8" w:rsidR="16504A81">
        <w:rPr>
          <w:noProof w:val="0"/>
          <w:lang w:val="en-US"/>
        </w:rPr>
        <w:t xml:space="preserve">At the time of assessment, no user authentication mechanism or role-based access control (RBAC) model is enforced. Administrative functionality is not fully implemented, and </w:t>
      </w:r>
      <w:r w:rsidRPr="0BE241B8" w:rsidR="16504A81">
        <w:rPr>
          <w:noProof w:val="0"/>
          <w:lang w:val="en-US"/>
        </w:rPr>
        <w:t>access</w:t>
      </w:r>
      <w:r w:rsidRPr="0BE241B8" w:rsidR="16504A81">
        <w:rPr>
          <w:noProof w:val="0"/>
          <w:lang w:val="en-US"/>
        </w:rPr>
        <w:t xml:space="preserve"> governance processes are not formally defined. As a result, there is no structured control over user identity, access provisioning, or privilege management.</w:t>
      </w:r>
    </w:p>
    <w:p w:rsidR="16504A81" w:rsidP="0BE241B8" w:rsidRDefault="16504A81" w14:paraId="25468983" w14:textId="255D10D2">
      <w:pPr>
        <w:pStyle w:val="Normal"/>
      </w:pPr>
      <w:r w:rsidRPr="0BE241B8" w:rsidR="16504A81">
        <w:rPr>
          <w:noProof w:val="0"/>
          <w:lang w:val="en-US"/>
        </w:rPr>
        <w:t xml:space="preserve"> </w:t>
      </w:r>
      <w:r w:rsidRPr="0BE241B8" w:rsidR="16504A81">
        <w:rPr>
          <w:noProof w:val="0"/>
          <w:lang w:val="en-US"/>
        </w:rPr>
        <w:t xml:space="preserve">The platform processes and stores customer personally identifiable information (PII), including names, addresses, and contact details. Certain data elements are encrypted, while others </w:t>
      </w:r>
      <w:r w:rsidRPr="0BE241B8" w:rsidR="16504A81">
        <w:rPr>
          <w:noProof w:val="0"/>
          <w:lang w:val="en-US"/>
        </w:rPr>
        <w:t>remain</w:t>
      </w:r>
      <w:r w:rsidRPr="0BE241B8" w:rsidR="16504A81">
        <w:rPr>
          <w:noProof w:val="0"/>
          <w:lang w:val="en-US"/>
        </w:rPr>
        <w:t xml:space="preserve"> unencrypted, introducing potential data exposure risks.</w:t>
      </w:r>
    </w:p>
    <w:p w:rsidR="16504A81" w:rsidP="0BE241B8" w:rsidRDefault="16504A81" w14:paraId="056DA109" w14:textId="36964E4E">
      <w:pPr>
        <w:pStyle w:val="Normal"/>
      </w:pPr>
      <w:r w:rsidRPr="0BE241B8" w:rsidR="16504A81">
        <w:rPr>
          <w:noProof w:val="0"/>
          <w:lang w:val="en-US"/>
        </w:rPr>
        <w:t xml:space="preserve"> </w:t>
      </w:r>
      <w:r w:rsidRPr="0BE241B8" w:rsidR="16504A81">
        <w:rPr>
          <w:noProof w:val="0"/>
          <w:lang w:val="en-US"/>
        </w:rPr>
        <w:t>Payment processing is handled externally via Stripe using a hosted checkout flow, ensuring that cardholder data is not stored within the system.</w:t>
      </w:r>
    </w:p>
    <w:p w:rsidR="16504A81" w:rsidP="0BE241B8" w:rsidRDefault="16504A81" w14:paraId="255902A0" w14:textId="13612525">
      <w:pPr>
        <w:pStyle w:val="Normal"/>
      </w:pPr>
      <w:r w:rsidRPr="0BE241B8" w:rsidR="16504A81">
        <w:rPr>
          <w:noProof w:val="0"/>
          <w:lang w:val="en-US"/>
        </w:rPr>
        <w:t xml:space="preserve"> </w:t>
      </w:r>
      <w:r w:rsidRPr="0BE241B8" w:rsidR="16504A81">
        <w:rPr>
          <w:noProof w:val="0"/>
          <w:lang w:val="en-US"/>
        </w:rPr>
        <w:t>The application is deployed through a continuous deployment mechanism, with limited change management controls such as formal approval workflows, segregation of environments, or structured release validation processes.</w:t>
      </w:r>
    </w:p>
    <w:p w:rsidR="4B431A7E" w:rsidP="0BE241B8" w:rsidRDefault="4B431A7E" w14:paraId="7B3ED64A" w14:textId="2D908A2B">
      <w:pPr>
        <w:pStyle w:val="Normal"/>
        <w:rPr>
          <w:noProof w:val="0"/>
          <w:lang w:val="en-US"/>
        </w:rPr>
      </w:pPr>
      <w:r w:rsidRPr="0BE241B8" w:rsidR="4B431A7E">
        <w:rPr>
          <w:noProof w:val="0"/>
          <w:lang w:val="en-US"/>
        </w:rPr>
        <w:t>Input validation and data sanitization practices are not consistently implemented across the application. There is no centralized validation layer or standardized approach to input handling, which may result in inconsistent data validation and increase the risk of improper data processing or injection-related vulnerabilities.</w:t>
      </w:r>
    </w:p>
    <w:p w:rsidR="5DEF2851" w:rsidP="0BE241B8" w:rsidRDefault="5DEF2851" w14:paraId="5B70F409" w14:textId="3A49228D">
      <w:pPr>
        <w:pStyle w:val="Heading2"/>
      </w:pPr>
      <w:r w:rsidRPr="0BE241B8" w:rsidR="5DEF2851">
        <w:rPr>
          <w:noProof w:val="0"/>
          <w:lang w:val="en-US"/>
        </w:rPr>
        <w:t>5. Methodology</w:t>
      </w:r>
    </w:p>
    <w:p w:rsidR="5DEF2851" w:rsidP="0BE241B8" w:rsidRDefault="5DEF2851" w14:paraId="2F10C976" w14:textId="1EBE5F07">
      <w:pPr>
        <w:spacing w:before="0" w:beforeAutospacing="off" w:after="240" w:afterAutospacing="off"/>
      </w:pPr>
      <w:r w:rsidRPr="0BE241B8" w:rsidR="5DEF2851">
        <w:rPr>
          <w:rFonts w:ascii="Calibri" w:hAnsi="Calibri" w:eastAsia="Calibri" w:cs="Calibri"/>
          <w:noProof w:val="0"/>
          <w:sz w:val="24"/>
          <w:szCs w:val="24"/>
          <w:lang w:val="en-US"/>
        </w:rPr>
        <w:t>The assessment was conducted using the following approach:</w:t>
      </w:r>
    </w:p>
    <w:p w:rsidR="5DEF2851" w:rsidP="0BE241B8" w:rsidRDefault="5DEF2851" w14:paraId="4EEACE72" w14:textId="2AB4D3EB">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Understanding the system architecture and operational processes </w:t>
      </w:r>
    </w:p>
    <w:p w:rsidR="5DEF2851" w:rsidP="0BE241B8" w:rsidRDefault="5DEF2851" w14:paraId="71EB5464" w14:textId="47B04059">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Identifying key risks related to access, data handling, and system changes </w:t>
      </w:r>
    </w:p>
    <w:p w:rsidR="5DEF2851" w:rsidP="0BE241B8" w:rsidRDefault="5DEF2851" w14:paraId="4A8DFC78" w14:textId="6C869715">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Mapping identified risks to relevant control objectives </w:t>
      </w:r>
    </w:p>
    <w:p w:rsidR="5DEF2851" w:rsidP="0BE241B8" w:rsidRDefault="5DEF2851" w14:paraId="10C36F98" w14:textId="17ECF8AE">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Evaluating the design of existing controls </w:t>
      </w:r>
    </w:p>
    <w:p w:rsidR="5DEF2851" w:rsidP="0BE241B8" w:rsidRDefault="5DEF2851" w14:paraId="23701455" w14:textId="18381B0C">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Performing control testing where applicable </w:t>
      </w:r>
    </w:p>
    <w:p w:rsidR="5DEF2851" w:rsidP="0BE241B8" w:rsidRDefault="5DEF2851" w14:paraId="0011419D" w14:textId="6D3DC72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 xml:space="preserve">Identifying control gaps and documenting findings </w:t>
      </w:r>
    </w:p>
    <w:p w:rsidR="5DEF2851" w:rsidP="0BE241B8" w:rsidRDefault="5DEF2851" w14:paraId="022FC783" w14:textId="1403354E">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BE241B8" w:rsidR="5DEF2851">
        <w:rPr>
          <w:rFonts w:ascii="Calibri" w:hAnsi="Calibri" w:eastAsia="Calibri" w:cs="Calibri"/>
          <w:noProof w:val="0"/>
          <w:sz w:val="24"/>
          <w:szCs w:val="24"/>
          <w:lang w:val="en-US"/>
        </w:rPr>
        <w:t>Developing remediation recommendations</w:t>
      </w:r>
    </w:p>
    <w:p w:rsidR="6159DC1D" w:rsidP="0BE241B8" w:rsidRDefault="6159DC1D" w14:paraId="5BE6963F" w14:textId="0AA1E428">
      <w:pPr>
        <w:pStyle w:val="Heading2"/>
      </w:pPr>
      <w:r w:rsidRPr="0BE241B8" w:rsidR="6159DC1D">
        <w:rPr>
          <w:noProof w:val="0"/>
          <w:lang w:val="en-US"/>
        </w:rPr>
        <w:t>6. ASSUMPTIONS &amp; LIMITATIONS</w:t>
      </w:r>
    </w:p>
    <w:p w:rsidR="32BACE06" w:rsidP="0BE241B8" w:rsidRDefault="32BACE06" w14:paraId="77A6DBAD" w14:textId="547EADB5">
      <w:pPr>
        <w:pStyle w:val="Normal"/>
        <w:rPr>
          <w:noProof w:val="0"/>
          <w:lang w:val="en-US"/>
        </w:rPr>
      </w:pPr>
      <w:r w:rsidRPr="0BE241B8" w:rsidR="32BACE06">
        <w:rPr>
          <w:noProof w:val="0"/>
          <w:lang w:val="en-US"/>
        </w:rPr>
        <w:t>This assessment is subject to the following assumptions and limitations:</w:t>
      </w:r>
    </w:p>
    <w:p w:rsidR="32BACE06" w:rsidP="0BE241B8" w:rsidRDefault="32BACE06" w14:paraId="0D839702" w14:textId="7DF5E29D">
      <w:pPr>
        <w:pStyle w:val="Normal"/>
      </w:pPr>
      <w:r w:rsidRPr="0BE241B8" w:rsidR="32BACE06">
        <w:rPr>
          <w:noProof w:val="0"/>
          <w:lang w:val="en-US"/>
        </w:rPr>
        <w:t xml:space="preserve">- Certain system components, including authentication and administrative access controls, are not yet fully implemented  </w:t>
      </w:r>
    </w:p>
    <w:p w:rsidR="32BACE06" w:rsidP="0BE241B8" w:rsidRDefault="32BACE06" w14:paraId="73E8DBCD" w14:textId="11D955C0">
      <w:pPr>
        <w:pStyle w:val="Normal"/>
      </w:pPr>
      <w:r w:rsidRPr="0BE241B8" w:rsidR="32BACE06">
        <w:rPr>
          <w:noProof w:val="0"/>
          <w:lang w:val="en-US"/>
        </w:rPr>
        <w:t xml:space="preserve">- Some controls are evaluated based on design rather than operating effectiveness  </w:t>
      </w:r>
    </w:p>
    <w:p w:rsidR="32BACE06" w:rsidP="0BE241B8" w:rsidRDefault="32BACE06" w14:paraId="251DF2E9" w14:textId="5A262854">
      <w:pPr>
        <w:pStyle w:val="Normal"/>
      </w:pPr>
      <w:r w:rsidRPr="0BE241B8" w:rsidR="32BACE06">
        <w:rPr>
          <w:noProof w:val="0"/>
          <w:lang w:val="en-US"/>
        </w:rPr>
        <w:t xml:space="preserve">- Access to production configurations, logs, and environment-level controls is limited  </w:t>
      </w:r>
    </w:p>
    <w:p w:rsidR="32BACE06" w:rsidP="0BE241B8" w:rsidRDefault="32BACE06" w14:paraId="228C357C" w14:textId="7664FECF">
      <w:pPr>
        <w:pStyle w:val="Normal"/>
      </w:pPr>
      <w:r w:rsidRPr="0BE241B8" w:rsidR="32BACE06">
        <w:rPr>
          <w:noProof w:val="0"/>
          <w:lang w:val="en-US"/>
        </w:rPr>
        <w:t xml:space="preserve">- The assessment reflects the system state at the time of review and may not capture future system enhancements  </w:t>
      </w:r>
    </w:p>
    <w:p w:rsidR="2B0945FE" w:rsidP="0BE241B8" w:rsidRDefault="2B0945FE" w14:paraId="7442C5AC" w14:textId="5E79DF75">
      <w:pPr>
        <w:pStyle w:val="Heading2"/>
      </w:pPr>
      <w:r w:rsidRPr="0BE241B8" w:rsidR="2B0945FE">
        <w:rPr>
          <w:noProof w:val="0"/>
          <w:lang w:val="en-US"/>
        </w:rPr>
        <w:t>7. Deliverables</w:t>
      </w:r>
    </w:p>
    <w:p w:rsidR="2B0945FE" w:rsidP="0BE241B8" w:rsidRDefault="2B0945FE" w14:paraId="74F55168" w14:textId="0F281900">
      <w:pPr>
        <w:spacing w:before="240" w:beforeAutospacing="off" w:after="240" w:afterAutospacing="off"/>
      </w:pPr>
      <w:r w:rsidRPr="0BE241B8" w:rsidR="2B0945FE">
        <w:rPr>
          <w:rFonts w:ascii="Calibri" w:hAnsi="Calibri" w:eastAsia="Calibri" w:cs="Calibri"/>
          <w:noProof w:val="0"/>
          <w:sz w:val="24"/>
          <w:szCs w:val="24"/>
          <w:lang w:val="en-US"/>
        </w:rPr>
        <w:t>The following deliverables will be produced as part of this assessment:</w:t>
      </w:r>
    </w:p>
    <w:p w:rsidR="2B0945FE" w:rsidP="0BE241B8" w:rsidRDefault="2B0945FE" w14:paraId="2F9FA04C" w14:textId="68175555">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ITGC Control Matrix </w:t>
      </w:r>
    </w:p>
    <w:p w:rsidR="2B0945FE" w:rsidP="0BE241B8" w:rsidRDefault="2B0945FE" w14:paraId="64451852" w14:textId="4DB7307F">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User Access Review (UAR) </w:t>
      </w:r>
    </w:p>
    <w:p w:rsidR="2B0945FE" w:rsidP="0BE241B8" w:rsidRDefault="2B0945FE" w14:paraId="6CB2D4A6" w14:textId="00B8CBBB">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Segregation of Duties (SoD) Analysis </w:t>
      </w:r>
    </w:p>
    <w:p w:rsidR="2B0945FE" w:rsidP="0BE241B8" w:rsidRDefault="2B0945FE" w14:paraId="68712BD0" w14:textId="7ACBED1A">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Testing Workpapers </w:t>
      </w:r>
    </w:p>
    <w:p w:rsidR="2B0945FE" w:rsidP="0BE241B8" w:rsidRDefault="2B0945FE" w14:paraId="0C2D6689" w14:textId="6E4412E1">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Findings Log </w:t>
      </w:r>
    </w:p>
    <w:p w:rsidR="2B0945FE" w:rsidP="0BE241B8" w:rsidRDefault="2B0945FE" w14:paraId="037A0E32" w14:textId="2D207725">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 xml:space="preserve">Remediation Tracker </w:t>
      </w:r>
    </w:p>
    <w:p w:rsidR="2B0945FE" w:rsidP="0BE241B8" w:rsidRDefault="2B0945FE" w14:paraId="1BC353B5" w14:textId="7EE0EEB0">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BE241B8" w:rsidR="2B0945FE">
        <w:rPr>
          <w:rFonts w:ascii="Calibri" w:hAnsi="Calibri" w:eastAsia="Calibri" w:cs="Calibri"/>
          <w:noProof w:val="0"/>
          <w:sz w:val="24"/>
          <w:szCs w:val="24"/>
          <w:lang w:val="en-US"/>
        </w:rPr>
        <w:t>Executive Summary Report</w:t>
      </w:r>
    </w:p>
    <w:p w:rsidR="0BE241B8" w:rsidP="0BE241B8" w:rsidRDefault="0BE241B8" w14:paraId="11BD6CE7" w14:textId="7DF43F81">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1c15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8a5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f6b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d99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813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962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9ADBF2"/>
    <w:rsid w:val="00D38708"/>
    <w:rsid w:val="0273BFD3"/>
    <w:rsid w:val="03C36969"/>
    <w:rsid w:val="0512AC49"/>
    <w:rsid w:val="0BE241B8"/>
    <w:rsid w:val="0DDA9189"/>
    <w:rsid w:val="159A643E"/>
    <w:rsid w:val="16504A81"/>
    <w:rsid w:val="1D281E42"/>
    <w:rsid w:val="1E6591A8"/>
    <w:rsid w:val="1EE2C549"/>
    <w:rsid w:val="27115898"/>
    <w:rsid w:val="27F7EFD0"/>
    <w:rsid w:val="2B0945FE"/>
    <w:rsid w:val="30C1B0B6"/>
    <w:rsid w:val="322DB3C1"/>
    <w:rsid w:val="32BACE06"/>
    <w:rsid w:val="32F79B78"/>
    <w:rsid w:val="3416FAC7"/>
    <w:rsid w:val="399F1BD9"/>
    <w:rsid w:val="3A9FC117"/>
    <w:rsid w:val="41277366"/>
    <w:rsid w:val="431795AE"/>
    <w:rsid w:val="4573A139"/>
    <w:rsid w:val="4B431A7E"/>
    <w:rsid w:val="4CCF2AC5"/>
    <w:rsid w:val="4F3A7C4A"/>
    <w:rsid w:val="509EE7C6"/>
    <w:rsid w:val="53781AE7"/>
    <w:rsid w:val="554E25DE"/>
    <w:rsid w:val="55D9C20A"/>
    <w:rsid w:val="5DEF2851"/>
    <w:rsid w:val="5E36CAC4"/>
    <w:rsid w:val="6159DC1D"/>
    <w:rsid w:val="6539E2B6"/>
    <w:rsid w:val="6CE201DB"/>
    <w:rsid w:val="6F8F3E5D"/>
    <w:rsid w:val="70BACCBC"/>
    <w:rsid w:val="74CD6028"/>
    <w:rsid w:val="750166BE"/>
    <w:rsid w:val="75EC1FEB"/>
    <w:rsid w:val="777BBF9C"/>
    <w:rsid w:val="788AECD1"/>
    <w:rsid w:val="7F936BA7"/>
    <w:rsid w:val="7F9AD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ADBF2"/>
  <w15:chartTrackingRefBased/>
  <w15:docId w15:val="{4A379BA4-8534-4C18-8584-7F6FC6771C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12AC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12AC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BE241B8"/>
    <w:pPr>
      <w:spacing/>
      <w:ind w:left="720"/>
      <w:contextualSpacing/>
    </w:pPr>
  </w:style>
  <w:style w:type="paragraph" w:styleId="Heading4">
    <w:uiPriority w:val="9"/>
    <w:name w:val="heading 4"/>
    <w:basedOn w:val="Normal"/>
    <w:next w:val="Normal"/>
    <w:unhideWhenUsed/>
    <w:qFormat/>
    <w:rsid w:val="0BE241B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0BE241B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BE241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eartpotterystudios.com" TargetMode="External" Id="Rb3c04b318a774076" /><Relationship Type="http://schemas.openxmlformats.org/officeDocument/2006/relationships/numbering" Target="numbering.xml" Id="Rf570956a4b0d40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2026-04-01T21:24:17.4601058Z</dcterms:created>
  <dcterms:modified xsi:type="dcterms:W3CDTF">2026-04-02T01:34:34.2574973Z</dcterms:modified>
  <dc:creator>Ali Rıza Sevgili</dc:creator>
  <lastModifiedBy>Ali Rıza Sevgili</lastModifiedBy>
</coreProperties>
</file>