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FBC2C66" wp14:paraId="58C94C66" wp14:textId="183889BD">
      <w:pPr>
        <w:pStyle w:val="Heading1"/>
      </w:pPr>
      <w:r w:rsidRPr="3FBC2C66" w:rsidR="04AF9452">
        <w:rPr>
          <w:noProof w:val="0"/>
          <w:lang w:val="en-US"/>
        </w:rPr>
        <w:t xml:space="preserve">SOC 2 Readiness Assessment Report </w:t>
      </w:r>
    </w:p>
    <w:p xmlns:wp14="http://schemas.microsoft.com/office/word/2010/wordml" w:rsidP="3FBC2C66" wp14:paraId="2C078E63" wp14:textId="718C36A5">
      <w:pPr>
        <w:pStyle w:val="Heading1"/>
      </w:pPr>
      <w:r w:rsidRPr="3FBC2C66" w:rsidR="04AF9452">
        <w:rPr>
          <w:noProof w:val="0"/>
          <w:lang w:val="en-US"/>
        </w:rPr>
        <w:t xml:space="preserve">Live E-commerce Platform (Heart Pottery </w:t>
      </w:r>
      <w:r w:rsidRPr="3FBC2C66" w:rsidR="04AF9452">
        <w:rPr>
          <w:noProof w:val="0"/>
          <w:lang w:val="en-US"/>
        </w:rPr>
        <w:t>Torono</w:t>
      </w:r>
      <w:r w:rsidRPr="3FBC2C66" w:rsidR="04AF9452">
        <w:rPr>
          <w:noProof w:val="0"/>
          <w:lang w:val="en-US"/>
        </w:rPr>
        <w:t xml:space="preserve"> | Canada)</w:t>
      </w:r>
    </w:p>
    <w:p w:rsidR="3FBC2C66" w:rsidP="3FBC2C66" w:rsidRDefault="3FBC2C66" w14:paraId="5AA2440C" w14:textId="409889BA">
      <w:pPr>
        <w:pStyle w:val="Normal"/>
        <w:rPr>
          <w:noProof w:val="0"/>
          <w:lang w:val="en-US"/>
        </w:rPr>
      </w:pPr>
    </w:p>
    <w:p w:rsidR="04AF9452" w:rsidP="3FBC2C66" w:rsidRDefault="04AF9452" w14:paraId="0B4626EE" w14:textId="6886F841">
      <w:pPr>
        <w:pStyle w:val="Heading2"/>
      </w:pPr>
      <w:r w:rsidRPr="3FBC2C66" w:rsidR="04AF9452">
        <w:rPr>
          <w:noProof w:val="0"/>
          <w:lang w:val="en-US"/>
        </w:rPr>
        <w:t>1-EXECUTIVE SUMMARY</w:t>
      </w:r>
    </w:p>
    <w:p w:rsidR="04AF9452" w:rsidP="3FBC2C66" w:rsidRDefault="04AF9452" w14:paraId="1D5EBFDB" w14:textId="2CFCE750">
      <w:pPr>
        <w:pStyle w:val="Normal"/>
        <w:rPr>
          <w:noProof w:val="0"/>
          <w:lang w:val="en-US"/>
        </w:rPr>
      </w:pPr>
      <w:r w:rsidRPr="3FBC2C66" w:rsidR="04AF9452">
        <w:rPr>
          <w:noProof w:val="0"/>
          <w:lang w:val="en-US"/>
        </w:rPr>
        <w:t xml:space="preserve">This report presents the results of a SOC 2 readiness assessment performed on a live e-commerce platform for </w:t>
      </w:r>
      <w:r w:rsidRPr="3FBC2C66" w:rsidR="04AF9452">
        <w:rPr>
          <w:b w:val="1"/>
          <w:bCs w:val="1"/>
          <w:noProof w:val="0"/>
          <w:lang w:val="en-US"/>
        </w:rPr>
        <w:t>Heart Pottery Studios Toronto</w:t>
      </w:r>
      <w:r w:rsidRPr="3FBC2C66" w:rsidR="04AF9452">
        <w:rPr>
          <w:noProof w:val="0"/>
          <w:lang w:val="en-US"/>
        </w:rPr>
        <w:t>, used for customer bookings and payment processing.</w:t>
      </w:r>
    </w:p>
    <w:p w:rsidR="04AF9452" w:rsidP="3FBC2C66" w:rsidRDefault="04AF9452" w14:paraId="33E30FB7" w14:textId="3F11D5A6">
      <w:pPr>
        <w:pStyle w:val="Normal"/>
      </w:pPr>
      <w:r w:rsidRPr="3FBC2C66" w:rsidR="04AF9452">
        <w:rPr>
          <w:noProof w:val="0"/>
          <w:lang w:val="en-US"/>
        </w:rPr>
        <w:t xml:space="preserve">The </w:t>
      </w:r>
      <w:r w:rsidRPr="3FBC2C66" w:rsidR="04AF9452">
        <w:rPr>
          <w:noProof w:val="0"/>
          <w:lang w:val="en-US"/>
        </w:rPr>
        <w:t>objective</w:t>
      </w:r>
      <w:r w:rsidRPr="3FBC2C66" w:rsidR="04AF9452">
        <w:rPr>
          <w:noProof w:val="0"/>
          <w:lang w:val="en-US"/>
        </w:rPr>
        <w:t xml:space="preserve"> of the assessment was to evaluate the system’s alignment with SOC 2 Trust Services Criteria (Security) and </w:t>
      </w:r>
      <w:r w:rsidRPr="3FBC2C66" w:rsidR="04AF9452">
        <w:rPr>
          <w:noProof w:val="0"/>
          <w:lang w:val="en-US"/>
        </w:rPr>
        <w:t>identify</w:t>
      </w:r>
      <w:r w:rsidRPr="3FBC2C66" w:rsidR="04AF9452">
        <w:rPr>
          <w:noProof w:val="0"/>
          <w:lang w:val="en-US"/>
        </w:rPr>
        <w:t xml:space="preserve"> control gaps that may </w:t>
      </w:r>
      <w:r w:rsidRPr="3FBC2C66" w:rsidR="04AF9452">
        <w:rPr>
          <w:noProof w:val="0"/>
          <w:lang w:val="en-US"/>
        </w:rPr>
        <w:t>impact</w:t>
      </w:r>
      <w:r w:rsidRPr="3FBC2C66" w:rsidR="04AF9452">
        <w:rPr>
          <w:noProof w:val="0"/>
          <w:lang w:val="en-US"/>
        </w:rPr>
        <w:t xml:space="preserve"> audit readiness.</w:t>
      </w:r>
    </w:p>
    <w:p w:rsidR="04AF9452" w:rsidP="3FBC2C66" w:rsidRDefault="04AF9452" w14:paraId="5843233F" w14:textId="1B8E2C2F">
      <w:pPr>
        <w:pStyle w:val="Normal"/>
      </w:pPr>
      <w:r w:rsidRPr="3FBC2C66" w:rsidR="04AF9452">
        <w:rPr>
          <w:noProof w:val="0"/>
          <w:lang w:val="en-US"/>
        </w:rPr>
        <w:t xml:space="preserve">The review </w:t>
      </w:r>
      <w:r w:rsidRPr="3FBC2C66" w:rsidR="04AF9452">
        <w:rPr>
          <w:noProof w:val="0"/>
          <w:lang w:val="en-US"/>
        </w:rPr>
        <w:t>identified</w:t>
      </w:r>
      <w:r w:rsidRPr="3FBC2C66" w:rsidR="04AF9452">
        <w:rPr>
          <w:noProof w:val="0"/>
          <w:lang w:val="en-US"/>
        </w:rPr>
        <w:t xml:space="preserve"> multiple high-risk control deficiencies across key areas including access control, data protection, change management, logging, and third-party risk management.</w:t>
      </w:r>
    </w:p>
    <w:p w:rsidR="04AF9452" w:rsidP="3FBC2C66" w:rsidRDefault="04AF9452" w14:paraId="21BA722C" w14:textId="3F4AA74A">
      <w:pPr>
        <w:pStyle w:val="Normal"/>
      </w:pPr>
      <w:r w:rsidRPr="3FBC2C66" w:rsidR="04AF9452">
        <w:rPr>
          <w:noProof w:val="0"/>
          <w:lang w:val="en-US"/>
        </w:rPr>
        <w:t>Critical gaps include the absence of authentication mechanisms, lack of role-based access control, incomplete encryption of sensitive data, and insufficient monitoring and logging capabilities.</w:t>
      </w:r>
    </w:p>
    <w:p w:rsidR="04AF9452" w:rsidP="3FBC2C66" w:rsidRDefault="04AF9452" w14:paraId="40C61311" w14:textId="1A6A955B">
      <w:pPr>
        <w:pStyle w:val="Normal"/>
      </w:pPr>
      <w:r w:rsidRPr="3FBC2C66" w:rsidR="04AF9452">
        <w:rPr>
          <w:noProof w:val="0"/>
          <w:lang w:val="en-US"/>
        </w:rPr>
        <w:t xml:space="preserve">All findings were </w:t>
      </w:r>
      <w:r w:rsidRPr="3FBC2C66" w:rsidR="04AF9452">
        <w:rPr>
          <w:noProof w:val="0"/>
          <w:lang w:val="en-US"/>
        </w:rPr>
        <w:t>validated</w:t>
      </w:r>
      <w:r w:rsidRPr="3FBC2C66" w:rsidR="04AF9452">
        <w:rPr>
          <w:noProof w:val="0"/>
          <w:lang w:val="en-US"/>
        </w:rPr>
        <w:t xml:space="preserve"> through evidence-based testing, including system behavior observation, source code inspection, and repository analysis.</w:t>
      </w:r>
    </w:p>
    <w:p w:rsidR="04AF9452" w:rsidP="3FBC2C66" w:rsidRDefault="04AF9452" w14:paraId="2BC0BEBF" w14:textId="45524CE1">
      <w:pPr>
        <w:pStyle w:val="Normal"/>
      </w:pPr>
      <w:r w:rsidRPr="3FBC2C66" w:rsidR="04AF9452">
        <w:rPr>
          <w:noProof w:val="0"/>
          <w:lang w:val="en-US"/>
        </w:rPr>
        <w:t>Overall, the system is currently not SOC 2 audit-ready and requires significant control enhancements to meet compliance expectations.</w:t>
      </w:r>
    </w:p>
    <w:p w:rsidR="0FD57C21" w:rsidP="3FBC2C66" w:rsidRDefault="0FD57C21" w14:paraId="1A3D5B31" w14:textId="597BC7BE">
      <w:pPr>
        <w:pStyle w:val="Heading2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2-</w:t>
      </w:r>
      <w:r w:rsidRPr="3FBC2C66" w:rsidR="0FD57C21">
        <w:rPr>
          <w:noProof w:val="0"/>
          <w:lang w:val="en-US"/>
        </w:rPr>
        <w:t xml:space="preserve"> SCOPE</w:t>
      </w:r>
    </w:p>
    <w:p w:rsidR="0FD57C21" w:rsidP="3FBC2C66" w:rsidRDefault="0FD57C21" w14:paraId="7EF09ED4" w14:textId="0272BD3B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The assessment covered the following components:</w:t>
      </w:r>
    </w:p>
    <w:p w:rsidR="0FD57C21" w:rsidP="3FBC2C66" w:rsidRDefault="0FD57C21" w14:paraId="02C0329F" w14:textId="2B511B62">
      <w:pPr>
        <w:pStyle w:val="Normal"/>
      </w:pPr>
      <w:r w:rsidRPr="3FBC2C66" w:rsidR="0FD57C21">
        <w:rPr>
          <w:noProof w:val="0"/>
          <w:lang w:val="en-US"/>
        </w:rPr>
        <w:t>- Web application handling customer bookings and checkout</w:t>
      </w:r>
    </w:p>
    <w:p w:rsidR="0FD57C21" w:rsidP="3FBC2C66" w:rsidRDefault="0FD57C21" w14:paraId="7F9470BB" w14:textId="73FAF339">
      <w:pPr>
        <w:pStyle w:val="Normal"/>
      </w:pPr>
      <w:r w:rsidRPr="3FBC2C66" w:rsidR="0FD57C21">
        <w:rPr>
          <w:noProof w:val="0"/>
          <w:lang w:val="en-US"/>
        </w:rPr>
        <w:t>- Backend services and API endpoints</w:t>
      </w:r>
    </w:p>
    <w:p w:rsidR="0FD57C21" w:rsidP="3FBC2C66" w:rsidRDefault="0FD57C21" w14:paraId="27EA6AAC" w14:textId="42BD65BD">
      <w:pPr>
        <w:pStyle w:val="Normal"/>
      </w:pPr>
      <w:r w:rsidRPr="3FBC2C66" w:rsidR="0FD57C21">
        <w:rPr>
          <w:noProof w:val="0"/>
          <w:lang w:val="en-US"/>
        </w:rPr>
        <w:t>- Database storing customer information (PII)</w:t>
      </w:r>
    </w:p>
    <w:p w:rsidR="0FD57C21" w:rsidP="3FBC2C66" w:rsidRDefault="0FD57C21" w14:paraId="50B2FB64" w14:textId="719E604F">
      <w:pPr>
        <w:pStyle w:val="Normal"/>
      </w:pPr>
      <w:r w:rsidRPr="3FBC2C66" w:rsidR="0FD57C21">
        <w:rPr>
          <w:noProof w:val="0"/>
          <w:lang w:val="en-US"/>
        </w:rPr>
        <w:t>- Environment configuration and secrets management</w:t>
      </w:r>
    </w:p>
    <w:p w:rsidR="0FD57C21" w:rsidP="3FBC2C66" w:rsidRDefault="0FD57C21" w14:paraId="5EBA343C" w14:textId="0007B67D">
      <w:pPr>
        <w:pStyle w:val="Normal"/>
      </w:pPr>
      <w:r w:rsidRPr="3FBC2C66" w:rsidR="0FD57C21">
        <w:rPr>
          <w:noProof w:val="0"/>
          <w:lang w:val="en-US"/>
        </w:rPr>
        <w:t>- Deployment and version control practices</w:t>
      </w:r>
    </w:p>
    <w:p w:rsidR="0FD57C21" w:rsidP="3FBC2C66" w:rsidRDefault="0FD57C21" w14:paraId="18FB4966" w14:textId="3495556E">
      <w:pPr>
        <w:pStyle w:val="Normal"/>
      </w:pPr>
      <w:r w:rsidRPr="3FBC2C66" w:rsidR="0FD57C21">
        <w:rPr>
          <w:noProof w:val="0"/>
          <w:lang w:val="en-US"/>
        </w:rPr>
        <w:t>- Logging and monitoring mechanisms</w:t>
      </w:r>
    </w:p>
    <w:p w:rsidR="0FD57C21" w:rsidP="3FBC2C66" w:rsidRDefault="0FD57C21" w14:paraId="70E06E79" w14:textId="4994474C">
      <w:pPr>
        <w:pStyle w:val="Normal"/>
      </w:pPr>
      <w:r w:rsidRPr="3FBC2C66" w:rsidR="0FD57C21">
        <w:rPr>
          <w:noProof w:val="0"/>
          <w:lang w:val="en-US"/>
        </w:rPr>
        <w:t>- Third-party integrations (payment, email, storage)</w:t>
      </w:r>
    </w:p>
    <w:p w:rsidR="0FD57C21" w:rsidP="3FBC2C66" w:rsidRDefault="0FD57C21" w14:paraId="006D5353" w14:textId="1937F630">
      <w:pPr>
        <w:pStyle w:val="Normal"/>
      </w:pPr>
      <w:r w:rsidRPr="3FBC2C66" w:rsidR="0FD57C21">
        <w:rPr>
          <w:noProof w:val="0"/>
          <w:lang w:val="en-US"/>
        </w:rPr>
        <w:t>The assessment focused on SOC 2 Security (Common Criteria).</w:t>
      </w:r>
    </w:p>
    <w:p w:rsidR="0FD57C21" w:rsidP="3FBC2C66" w:rsidRDefault="0FD57C21" w14:paraId="542FF2B5" w14:textId="77C22C4A">
      <w:pPr>
        <w:pStyle w:val="Heading2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3-</w:t>
      </w:r>
      <w:r w:rsidRPr="3FBC2C66" w:rsidR="0FD57C21">
        <w:rPr>
          <w:noProof w:val="0"/>
          <w:lang w:val="en-US"/>
        </w:rPr>
        <w:t xml:space="preserve"> METHODOLOGY</w:t>
      </w:r>
    </w:p>
    <w:p w:rsidR="0FD57C21" w:rsidP="3FBC2C66" w:rsidRDefault="0FD57C21" w14:paraId="2BD34A67" w14:textId="7C3D7CB7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The assessment was conducted using a structured audit approach:</w:t>
      </w:r>
    </w:p>
    <w:p w:rsidR="0FD57C21" w:rsidP="3FBC2C66" w:rsidRDefault="0FD57C21" w14:paraId="4E31EE3F" w14:textId="1DC4E4C5">
      <w:pPr>
        <w:pStyle w:val="Normal"/>
      </w:pPr>
      <w:r w:rsidRPr="3FBC2C66" w:rsidR="0FD57C21">
        <w:rPr>
          <w:noProof w:val="0"/>
          <w:lang w:val="en-US"/>
        </w:rPr>
        <w:t>- System analysis and data flow review</w:t>
      </w:r>
    </w:p>
    <w:p w:rsidR="0FD57C21" w:rsidP="3FBC2C66" w:rsidRDefault="0FD57C21" w14:paraId="20ED5FC2" w14:textId="43313D07">
      <w:pPr>
        <w:pStyle w:val="Normal"/>
      </w:pPr>
      <w:r w:rsidRPr="3FBC2C66" w:rsidR="0FD57C21">
        <w:rPr>
          <w:noProof w:val="0"/>
          <w:lang w:val="en-US"/>
        </w:rPr>
        <w:t>- Identification of control gaps aligned with SOC 2 criteria</w:t>
      </w:r>
    </w:p>
    <w:p w:rsidR="0FD57C21" w:rsidP="3FBC2C66" w:rsidRDefault="0FD57C21" w14:paraId="3BB4325E" w14:textId="13AD57CB">
      <w:pPr>
        <w:pStyle w:val="Normal"/>
      </w:pPr>
      <w:r w:rsidRPr="3FBC2C66" w:rsidR="0FD57C21">
        <w:rPr>
          <w:noProof w:val="0"/>
          <w:lang w:val="en-US"/>
        </w:rPr>
        <w:t>- Development of control matrix</w:t>
      </w:r>
    </w:p>
    <w:p w:rsidR="0FD57C21" w:rsidP="3FBC2C66" w:rsidRDefault="0FD57C21" w14:paraId="2A7BC742" w14:textId="3F5006F1">
      <w:pPr>
        <w:pStyle w:val="Normal"/>
      </w:pPr>
      <w:r w:rsidRPr="3FBC2C66" w:rsidR="0FD57C21">
        <w:rPr>
          <w:noProof w:val="0"/>
          <w:lang w:val="en-US"/>
        </w:rPr>
        <w:t>- Evidence collection and validation</w:t>
      </w:r>
    </w:p>
    <w:p w:rsidR="0FD57C21" w:rsidP="3FBC2C66" w:rsidRDefault="0FD57C21" w14:paraId="0C2100A8" w14:textId="2F3A8C73">
      <w:pPr>
        <w:pStyle w:val="Normal"/>
      </w:pPr>
      <w:r w:rsidRPr="3FBC2C66" w:rsidR="0FD57C21">
        <w:rPr>
          <w:noProof w:val="0"/>
          <w:lang w:val="en-US"/>
        </w:rPr>
        <w:t>- Risk assessment and impact analysis</w:t>
      </w:r>
    </w:p>
    <w:p w:rsidR="0FD57C21" w:rsidP="3FBC2C66" w:rsidRDefault="0FD57C21" w14:paraId="0FF9F6E5" w14:textId="741C52C8">
      <w:pPr>
        <w:pStyle w:val="Normal"/>
      </w:pPr>
      <w:r w:rsidRPr="3FBC2C66" w:rsidR="0FD57C21">
        <w:rPr>
          <w:noProof w:val="0"/>
          <w:lang w:val="en-US"/>
        </w:rPr>
        <w:t>- Remediation planning (POA&amp;M)</w:t>
      </w:r>
    </w:p>
    <w:p w:rsidR="0FD57C21" w:rsidP="3FBC2C66" w:rsidRDefault="0FD57C21" w14:paraId="3EFE044F" w14:textId="39F96322">
      <w:pPr>
        <w:pStyle w:val="Normal"/>
      </w:pPr>
      <w:r w:rsidRPr="3FBC2C66" w:rsidR="0FD57C21">
        <w:rPr>
          <w:noProof w:val="0"/>
          <w:lang w:val="en-US"/>
        </w:rPr>
        <w:t xml:space="preserve">Controls were mapped to SOC 2 Trust Services Criteria (CC) and </w:t>
      </w:r>
      <w:r w:rsidRPr="3FBC2C66" w:rsidR="0FD57C21">
        <w:rPr>
          <w:noProof w:val="0"/>
          <w:lang w:val="en-US"/>
        </w:rPr>
        <w:t>validated</w:t>
      </w:r>
      <w:r w:rsidRPr="3FBC2C66" w:rsidR="0FD57C21">
        <w:rPr>
          <w:noProof w:val="0"/>
          <w:lang w:val="en-US"/>
        </w:rPr>
        <w:t xml:space="preserve"> using direct evidence.</w:t>
      </w:r>
    </w:p>
    <w:p w:rsidR="0FD57C21" w:rsidP="3FBC2C66" w:rsidRDefault="0FD57C21" w14:paraId="7F3FE755" w14:textId="7FB2EF29">
      <w:pPr>
        <w:pStyle w:val="Heading2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4-</w:t>
      </w:r>
      <w:r w:rsidRPr="3FBC2C66" w:rsidR="0FD57C21">
        <w:rPr>
          <w:noProof w:val="0"/>
          <w:lang w:val="en-US"/>
        </w:rPr>
        <w:t xml:space="preserve"> KEY FINDINGS</w:t>
      </w:r>
    </w:p>
    <w:p w:rsidR="0FD57C21" w:rsidP="3FBC2C66" w:rsidRDefault="0FD57C21" w14:paraId="6EE4F530" w14:textId="644E2FF1">
      <w:pPr>
        <w:pStyle w:val="Heading3"/>
      </w:pPr>
      <w:r w:rsidRPr="3FBC2C66" w:rsidR="0FD57C21">
        <w:rPr>
          <w:noProof w:val="0"/>
          <w:lang w:val="en-US"/>
        </w:rPr>
        <w:t>Access Control</w:t>
      </w:r>
    </w:p>
    <w:p w:rsidR="0FD57C21" w:rsidP="3FBC2C66" w:rsidRDefault="0FD57C21" w14:paraId="642B0680" w14:textId="4052FDF3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The system does not enforce authentication for critical operations, allowing users to perform transactions without identity verification.</w:t>
      </w:r>
    </w:p>
    <w:p w:rsidR="0FD57C21" w:rsidP="3FBC2C66" w:rsidRDefault="0FD57C21" w14:paraId="3A313B38" w14:textId="7D3B642F">
      <w:pPr>
        <w:pStyle w:val="Normal"/>
      </w:pPr>
      <w:r w:rsidRPr="3FBC2C66" w:rsidR="0FD57C21">
        <w:rPr>
          <w:noProof w:val="0"/>
          <w:lang w:val="en-US"/>
        </w:rPr>
        <w:t xml:space="preserve">Additionally, no role-based access control (RBAC) is implemented, and privileged access is not restricted, increasing </w:t>
      </w:r>
      <w:r w:rsidRPr="3FBC2C66" w:rsidR="0FD57C21">
        <w:rPr>
          <w:noProof w:val="0"/>
          <w:lang w:val="en-US"/>
        </w:rPr>
        <w:t>th</w:t>
      </w:r>
      <w:r w:rsidRPr="3FBC2C66" w:rsidR="0FD57C21">
        <w:rPr>
          <w:noProof w:val="0"/>
          <w:lang w:val="en-US"/>
        </w:rPr>
        <w:t>e risk of unauthorized access and misuse.</w:t>
      </w:r>
    </w:p>
    <w:p w:rsidR="0FD57C21" w:rsidP="3FBC2C66" w:rsidRDefault="0FD57C21" w14:paraId="1C37EBDB" w14:textId="11356B5E">
      <w:pPr>
        <w:pStyle w:val="Heading3"/>
      </w:pPr>
      <w:r w:rsidRPr="3FBC2C66" w:rsidR="0FD57C21">
        <w:rPr>
          <w:noProof w:val="0"/>
          <w:lang w:val="en-US"/>
        </w:rPr>
        <w:t>Data Protection</w:t>
      </w:r>
    </w:p>
    <w:p w:rsidR="0FD57C21" w:rsidP="3FBC2C66" w:rsidRDefault="0FD57C21" w14:paraId="39E7B77A" w14:textId="7FBFC60F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 xml:space="preserve">Sensitive customer data is only partially encrypted. While some fields (e.g., email, phone) are protected, other personal data </w:t>
      </w:r>
      <w:r w:rsidRPr="3FBC2C66" w:rsidR="0FD57C21">
        <w:rPr>
          <w:noProof w:val="0"/>
          <w:lang w:val="en-US"/>
        </w:rPr>
        <w:t>remains</w:t>
      </w:r>
      <w:r w:rsidRPr="3FBC2C66" w:rsidR="0FD57C21">
        <w:rPr>
          <w:noProof w:val="0"/>
          <w:lang w:val="en-US"/>
        </w:rPr>
        <w:t xml:space="preserve"> in plaintext.</w:t>
      </w:r>
    </w:p>
    <w:p w:rsidR="0FD57C21" w:rsidP="3FBC2C66" w:rsidRDefault="0FD57C21" w14:paraId="382DAB19" w14:textId="302864AB">
      <w:pPr>
        <w:pStyle w:val="Normal"/>
      </w:pPr>
      <w:r w:rsidRPr="3FBC2C66" w:rsidR="0FD57C21">
        <w:rPr>
          <w:noProof w:val="0"/>
          <w:lang w:val="en-US"/>
        </w:rPr>
        <w:t>This creates a risk of data exposure and does not meet expected data protection standards.</w:t>
      </w:r>
    </w:p>
    <w:p w:rsidR="0FD57C21" w:rsidP="3FBC2C66" w:rsidRDefault="0FD57C21" w14:paraId="1CDC9337" w14:textId="2244C9C7">
      <w:pPr>
        <w:pStyle w:val="Heading3"/>
      </w:pPr>
      <w:r w:rsidRPr="3FBC2C66" w:rsidR="0FD57C21">
        <w:rPr>
          <w:noProof w:val="0"/>
          <w:lang w:val="en-US"/>
        </w:rPr>
        <w:t>Secrets Management</w:t>
      </w:r>
    </w:p>
    <w:p w:rsidR="0FD57C21" w:rsidP="3FBC2C66" w:rsidRDefault="0FD57C21" w14:paraId="58B3DDED" w14:textId="295A84E0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Sensitive credentials such as database connection strings and API keys are stored in environment files without proper access control.</w:t>
      </w:r>
    </w:p>
    <w:p w:rsidR="0FD57C21" w:rsidP="3FBC2C66" w:rsidRDefault="0FD57C21" w14:paraId="67E8FE3F" w14:textId="56B5ACDF">
      <w:pPr>
        <w:pStyle w:val="Normal"/>
      </w:pPr>
      <w:r w:rsidRPr="3FBC2C66" w:rsidR="0FD57C21">
        <w:rPr>
          <w:noProof w:val="0"/>
          <w:lang w:val="en-US"/>
        </w:rPr>
        <w:t>This increases the risk of credential exposure and system compromise.</w:t>
      </w:r>
    </w:p>
    <w:p w:rsidR="0FD57C21" w:rsidP="3FBC2C66" w:rsidRDefault="0FD57C21" w14:paraId="5432DEB1" w14:textId="2CAC9048">
      <w:pPr>
        <w:pStyle w:val="Heading3"/>
      </w:pPr>
      <w:r w:rsidRPr="3FBC2C66" w:rsidR="0FD57C21">
        <w:rPr>
          <w:noProof w:val="0"/>
          <w:lang w:val="en-US"/>
        </w:rPr>
        <w:t>Change Management</w:t>
      </w:r>
    </w:p>
    <w:p w:rsidR="0FD57C21" w:rsidP="3FBC2C66" w:rsidRDefault="0FD57C21" w14:paraId="7092B9BC" w14:textId="3FB4C102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The system lacks a formal change management process. Code changes are directly committed to the main branch without review or approval.</w:t>
      </w:r>
    </w:p>
    <w:p w:rsidR="0FD57C21" w:rsidP="3FBC2C66" w:rsidRDefault="0FD57C21" w14:paraId="3C211DC4" w14:textId="328D735D">
      <w:pPr>
        <w:pStyle w:val="Normal"/>
      </w:pPr>
      <w:r w:rsidRPr="3FBC2C66" w:rsidR="0FD57C21">
        <w:rPr>
          <w:noProof w:val="0"/>
          <w:lang w:val="en-US"/>
        </w:rPr>
        <w:t xml:space="preserve"> </w:t>
      </w:r>
    </w:p>
    <w:p w:rsidR="0FD57C21" w:rsidP="3FBC2C66" w:rsidRDefault="0FD57C21" w14:paraId="1ED57EC6" w14:textId="06910FDF">
      <w:pPr>
        <w:pStyle w:val="Normal"/>
      </w:pPr>
      <w:r w:rsidRPr="3FBC2C66" w:rsidR="0FD57C21">
        <w:rPr>
          <w:noProof w:val="0"/>
          <w:lang w:val="en-US"/>
        </w:rPr>
        <w:t xml:space="preserve">This creates </w:t>
      </w:r>
      <w:r w:rsidRPr="3FBC2C66" w:rsidR="0FD57C21">
        <w:rPr>
          <w:noProof w:val="0"/>
          <w:lang w:val="en-US"/>
        </w:rPr>
        <w:t>a high risk</w:t>
      </w:r>
      <w:r w:rsidRPr="3FBC2C66" w:rsidR="0FD57C21">
        <w:rPr>
          <w:noProof w:val="0"/>
          <w:lang w:val="en-US"/>
        </w:rPr>
        <w:t xml:space="preserve"> of untested or unauthorized changes being deployed to production.</w:t>
      </w:r>
    </w:p>
    <w:p w:rsidR="0FD57C21" w:rsidP="3FBC2C66" w:rsidRDefault="0FD57C21" w14:paraId="2E8AAC9B" w14:textId="1D5F73AE">
      <w:pPr>
        <w:pStyle w:val="Heading3"/>
      </w:pPr>
      <w:r w:rsidRPr="3FBC2C66" w:rsidR="0FD57C21">
        <w:rPr>
          <w:noProof w:val="0"/>
          <w:lang w:val="en-US"/>
        </w:rPr>
        <w:t>Logging &amp; Monitoring</w:t>
      </w:r>
    </w:p>
    <w:p w:rsidR="0FD57C21" w:rsidP="3FBC2C66" w:rsidRDefault="0FD57C21" w14:paraId="2221BF61" w14:textId="0B44441C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Logging is limited to system-level events and does not capture user activity or security-relevant events.</w:t>
      </w:r>
    </w:p>
    <w:p w:rsidR="0FD57C21" w:rsidP="3FBC2C66" w:rsidRDefault="0FD57C21" w14:paraId="74918CBA" w14:textId="7CBF28E1">
      <w:pPr>
        <w:pStyle w:val="Normal"/>
      </w:pPr>
      <w:r w:rsidRPr="3FBC2C66" w:rsidR="0FD57C21">
        <w:rPr>
          <w:noProof w:val="0"/>
          <w:lang w:val="en-US"/>
        </w:rPr>
        <w:t>No monitoring or alerting mechanisms are in place, limiting the system’s ability to detect and respond to incidents.</w:t>
      </w:r>
    </w:p>
    <w:p w:rsidR="0FD57C21" w:rsidP="3FBC2C66" w:rsidRDefault="0FD57C21" w14:paraId="77EF2947" w14:textId="01EF13BC">
      <w:pPr>
        <w:pStyle w:val="Heading3"/>
      </w:pPr>
      <w:r w:rsidRPr="3FBC2C66" w:rsidR="0FD57C21">
        <w:rPr>
          <w:noProof w:val="0"/>
          <w:lang w:val="en-US"/>
        </w:rPr>
        <w:t>Third-Party Risk</w:t>
      </w:r>
    </w:p>
    <w:p w:rsidR="0FD57C21" w:rsidP="3FBC2C66" w:rsidRDefault="0FD57C21" w14:paraId="54475B4C" w14:textId="7DBD9C0B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No vendor risk assessment or external security evaluation has been performed for third-party services.</w:t>
      </w:r>
    </w:p>
    <w:p w:rsidR="0FD57C21" w:rsidP="3FBC2C66" w:rsidRDefault="0FD57C21" w14:paraId="257AF058" w14:textId="30A35C68">
      <w:pPr>
        <w:pStyle w:val="Normal"/>
      </w:pPr>
      <w:r w:rsidRPr="3FBC2C66" w:rsidR="0FD57C21">
        <w:rPr>
          <w:noProof w:val="0"/>
          <w:lang w:val="en-US"/>
        </w:rPr>
        <w:t>This introduces potential supply chain risks.</w:t>
      </w:r>
    </w:p>
    <w:p w:rsidR="3FBC2C66" w:rsidP="3FBC2C66" w:rsidRDefault="3FBC2C66" w14:paraId="13106848" w14:textId="47542675">
      <w:pPr>
        <w:pStyle w:val="Normal"/>
        <w:rPr>
          <w:noProof w:val="0"/>
          <w:lang w:val="en-US"/>
        </w:rPr>
      </w:pPr>
    </w:p>
    <w:p w:rsidR="0FD57C21" w:rsidP="3FBC2C66" w:rsidRDefault="0FD57C21" w14:paraId="3A56E549" w14:textId="3734A4E3">
      <w:pPr>
        <w:pStyle w:val="Heading2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>5-</w:t>
      </w:r>
      <w:r w:rsidRPr="3FBC2C66" w:rsidR="0FD57C21">
        <w:rPr>
          <w:noProof w:val="0"/>
          <w:lang w:val="en-US"/>
        </w:rPr>
        <w:t xml:space="preserve"> CONCLUSION</w:t>
      </w:r>
    </w:p>
    <w:p w:rsidR="0FD57C21" w:rsidP="3FBC2C66" w:rsidRDefault="0FD57C21" w14:paraId="1EE9B97F" w14:textId="077183F9">
      <w:pPr>
        <w:pStyle w:val="Normal"/>
        <w:rPr>
          <w:noProof w:val="0"/>
          <w:lang w:val="en-US"/>
        </w:rPr>
      </w:pPr>
      <w:r w:rsidRPr="3FBC2C66" w:rsidR="0FD57C21">
        <w:rPr>
          <w:noProof w:val="0"/>
          <w:lang w:val="en-US"/>
        </w:rPr>
        <w:t xml:space="preserve">The assessment </w:t>
      </w:r>
      <w:r w:rsidRPr="3FBC2C66" w:rsidR="0FD57C21">
        <w:rPr>
          <w:noProof w:val="0"/>
          <w:lang w:val="en-US"/>
        </w:rPr>
        <w:t>indicates</w:t>
      </w:r>
      <w:r w:rsidRPr="3FBC2C66" w:rsidR="0FD57C21">
        <w:rPr>
          <w:noProof w:val="0"/>
          <w:lang w:val="en-US"/>
        </w:rPr>
        <w:t xml:space="preserve"> that the system is not currently aligned with SOC 2 Security requirements.</w:t>
      </w:r>
    </w:p>
    <w:p w:rsidR="0FD57C21" w:rsidP="3FBC2C66" w:rsidRDefault="0FD57C21" w14:paraId="611F4BC8" w14:textId="7247857B">
      <w:pPr>
        <w:pStyle w:val="Normal"/>
      </w:pPr>
      <w:r w:rsidRPr="3FBC2C66" w:rsidR="0FD57C21">
        <w:rPr>
          <w:noProof w:val="0"/>
          <w:lang w:val="en-US"/>
        </w:rPr>
        <w:t xml:space="preserve">Multiple high-risk control gaps were </w:t>
      </w:r>
      <w:r w:rsidRPr="3FBC2C66" w:rsidR="0FD57C21">
        <w:rPr>
          <w:noProof w:val="0"/>
          <w:lang w:val="en-US"/>
        </w:rPr>
        <w:t>identified</w:t>
      </w:r>
      <w:r w:rsidRPr="3FBC2C66" w:rsidR="0FD57C21">
        <w:rPr>
          <w:noProof w:val="0"/>
          <w:lang w:val="en-US"/>
        </w:rPr>
        <w:t>, particularly in access control, data protection, and monitoring.</w:t>
      </w:r>
    </w:p>
    <w:p w:rsidR="0FD57C21" w:rsidP="3FBC2C66" w:rsidRDefault="0FD57C21" w14:paraId="6CE70221" w14:textId="0614C197">
      <w:pPr>
        <w:pStyle w:val="Normal"/>
      </w:pPr>
      <w:r w:rsidRPr="3FBC2C66" w:rsidR="0FD57C21">
        <w:rPr>
          <w:noProof w:val="0"/>
          <w:lang w:val="en-US"/>
        </w:rPr>
        <w:t>To achieve SOC 2 readiness, the organization should prioritize the implementation of authentication, access controls, encryption, logging, and formal governance processes.</w:t>
      </w:r>
    </w:p>
    <w:p w:rsidR="0FD57C21" w:rsidP="3FBC2C66" w:rsidRDefault="0FD57C21" w14:paraId="18A0467F" w14:textId="79F13647">
      <w:pPr>
        <w:pStyle w:val="Normal"/>
      </w:pPr>
      <w:r w:rsidRPr="3FBC2C66" w:rsidR="0FD57C21">
        <w:rPr>
          <w:noProof w:val="0"/>
          <w:lang w:val="en-US"/>
        </w:rPr>
        <w:t>Addressing these gaps will significantly improve the system’s security posture and readiness for audit.</w:t>
      </w:r>
    </w:p>
    <w:p w:rsidR="0FD57C21" w:rsidP="3FBC2C66" w:rsidRDefault="0FD57C21" w14:paraId="28433123" w14:textId="26921DB9">
      <w:pPr>
        <w:pStyle w:val="Normal"/>
        <w:rPr>
          <w:b w:val="1"/>
          <w:bCs w:val="1"/>
          <w:noProof w:val="0"/>
          <w:lang w:val="en-US"/>
        </w:rPr>
      </w:pPr>
      <w:r w:rsidRPr="3FBC2C66" w:rsidR="0FD57C21">
        <w:rPr>
          <w:b w:val="1"/>
          <w:bCs w:val="1"/>
          <w:noProof w:val="0"/>
          <w:lang w:val="en-US"/>
        </w:rPr>
        <w:t>Appendix: Evidence references are available in the Evidence Index and supporting documentation.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f389726d650a4b2a"/>
      <w:footerReference w:type="default" r:id="Rdedee82124984d9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FBC2C66" w:rsidTr="3FBC2C66" w14:paraId="6A10BB0F">
      <w:trPr>
        <w:trHeight w:val="300"/>
      </w:trPr>
      <w:tc>
        <w:tcPr>
          <w:tcW w:w="3120" w:type="dxa"/>
          <w:tcMar/>
        </w:tcPr>
        <w:p w:rsidR="3FBC2C66" w:rsidP="3FBC2C66" w:rsidRDefault="3FBC2C66" w14:paraId="1CF53827" w14:textId="2B293E0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FBC2C66" w:rsidP="3FBC2C66" w:rsidRDefault="3FBC2C66" w14:paraId="6C68396A" w14:textId="160A1E1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FBC2C66" w:rsidP="3FBC2C66" w:rsidRDefault="3FBC2C66" w14:paraId="08001473" w14:textId="6B6674A5">
          <w:pPr>
            <w:pStyle w:val="Header"/>
            <w:bidi w:val="0"/>
            <w:ind w:right="-115"/>
            <w:jc w:val="right"/>
          </w:pPr>
        </w:p>
      </w:tc>
    </w:tr>
  </w:tbl>
  <w:p w:rsidR="3FBC2C66" w:rsidP="3FBC2C66" w:rsidRDefault="3FBC2C66" w14:paraId="1D322320" w14:textId="6D2CEF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FBC2C66" w:rsidTr="3FBC2C66" w14:paraId="5211FEB2">
      <w:trPr>
        <w:trHeight w:val="300"/>
      </w:trPr>
      <w:tc>
        <w:tcPr>
          <w:tcW w:w="3120" w:type="dxa"/>
          <w:tcMar/>
        </w:tcPr>
        <w:p w:rsidR="3FBC2C66" w:rsidP="3FBC2C66" w:rsidRDefault="3FBC2C66" w14:paraId="462E6480" w14:textId="15ED276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FBC2C66" w:rsidP="3FBC2C66" w:rsidRDefault="3FBC2C66" w14:paraId="2410B83F" w14:textId="285ED56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FBC2C66" w:rsidP="3FBC2C66" w:rsidRDefault="3FBC2C66" w14:paraId="493B2526" w14:textId="0064F52B">
          <w:pPr>
            <w:pStyle w:val="Header"/>
            <w:bidi w:val="0"/>
            <w:ind w:right="-115"/>
            <w:jc w:val="right"/>
          </w:pPr>
        </w:p>
      </w:tc>
    </w:tr>
  </w:tbl>
  <w:p w:rsidR="3FBC2C66" w:rsidP="3FBC2C66" w:rsidRDefault="3FBC2C66" w14:paraId="493A3410" w14:textId="3858106D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84CE9C"/>
    <w:rsid w:val="0484CE9C"/>
    <w:rsid w:val="04AF9452"/>
    <w:rsid w:val="04B41366"/>
    <w:rsid w:val="0FD57C21"/>
    <w:rsid w:val="10536844"/>
    <w:rsid w:val="3335F669"/>
    <w:rsid w:val="3426E1A4"/>
    <w:rsid w:val="3FBC2C66"/>
    <w:rsid w:val="51807F67"/>
    <w:rsid w:val="597DB8E4"/>
    <w:rsid w:val="5EEB4063"/>
    <w:rsid w:val="63ED6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33725"/>
  <w15:chartTrackingRefBased/>
  <w15:docId w15:val="{3E9E28C3-A21E-411A-AC65-E7CAEFF8592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3FBC2C6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FBC2C6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3FBC2C6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FBC2C6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FBC2C6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f389726d650a4b2a" /><Relationship Type="http://schemas.openxmlformats.org/officeDocument/2006/relationships/footer" Target="footer.xml" Id="Rdedee82124984d9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2026-04-08T00:00:55.6641998Z</dcterms:created>
  <dcterms:modified xsi:type="dcterms:W3CDTF">2026-04-08T00:08:15.6877057Z</dcterms:modified>
  <dc:creator>Ali Rıza Sevgili</dc:creator>
  <lastModifiedBy>Ali Rıza Sevgili</lastModifiedBy>
</coreProperties>
</file>