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Impella RP in High-Risk Pulmonary Embolism With Cardiogenic Shock</w:t>
      </w:r>
    </w:p>
    <w:p>
      <w:pPr>
        <w:pStyle w:val="Subtitle"/>
      </w:pPr>
      <w:r>
        <w:t xml:space="preserve">National Inpatient Sample (NIS), 2017–2022</w:t>
      </w:r>
    </w:p>
    <w:p>
      <w:pPr>
        <w:pStyle w:val="Author"/>
      </w:pPr>
      <w:r>
        <w:t xml:space="preserve">Ali Salman</w:t>
      </w:r>
    </w:p>
    <w:bookmarkStart w:id="17" w:name="study-overview"/>
    <w:p>
      <w:pPr>
        <w:pStyle w:val="Heading1"/>
      </w:pPr>
      <w:r>
        <w:t xml:space="preserve">Study overview</w:t>
      </w:r>
    </w:p>
    <w:p>
      <w:pPr>
        <w:pStyle w:val="FirstParagraph"/>
      </w:pPr>
      <w:r>
        <w:t xml:space="preserve">This report reproduces the primary, survey-weighted analysis of</w:t>
      </w:r>
      <w:r>
        <w:t xml:space="preserve"> </w:t>
      </w:r>
      <w:r>
        <w:rPr>
          <w:b/>
          <w:bCs/>
        </w:rPr>
        <w:t xml:space="preserve">Impella RP</w:t>
      </w:r>
      <w:r>
        <w:t xml:space="preserve"> </w:t>
      </w:r>
      <w:r>
        <w:t xml:space="preserve">use among adults hospitalized with</w:t>
      </w:r>
      <w:r>
        <w:t xml:space="preserve"> </w:t>
      </w:r>
      <w:r>
        <w:rPr>
          <w:b/>
          <w:bCs/>
        </w:rPr>
        <w:t xml:space="preserve">high-risk pulmonary embolism (PE) and cardiogenic shock</w:t>
      </w:r>
      <w:r>
        <w:t xml:space="preserve"> </w:t>
      </w:r>
      <w:r>
        <w:t xml:space="preserve">in the National Inpatient Sample (NIS),</w:t>
      </w:r>
      <w:r>
        <w:t xml:space="preserve"> </w:t>
      </w:r>
      <w:r>
        <w:rPr>
          <w:b/>
          <w:bCs/>
        </w:rPr>
        <w:t xml:space="preserve">2017–2022</w:t>
      </w:r>
      <w:r>
        <w:t xml:space="preserve">. The primary analytic approach uses</w:t>
      </w:r>
      <w:r>
        <w:t xml:space="preserve"> </w:t>
      </w:r>
      <w:r>
        <w:rPr>
          <w:b/>
          <w:bCs/>
        </w:rPr>
        <w:t xml:space="preserve">propensity score inverse probability of treatment weighting (IPTW)</w:t>
      </w:r>
      <w:r>
        <w:t xml:space="preserve"> </w:t>
      </w:r>
      <w:r>
        <w:t xml:space="preserve">to address measured confounding while retaining the NIS complex survey design.</w:t>
      </w:r>
    </w:p>
    <w:bookmarkStart w:id="9" w:name="data-source-and-study-period"/>
    <w:p>
      <w:pPr>
        <w:pStyle w:val="Heading2"/>
      </w:pPr>
      <w:r>
        <w:t xml:space="preserve">Data source and study period</w:t>
      </w:r>
    </w:p>
    <w:p>
      <w:pPr>
        <w:pStyle w:val="FirstParagraph"/>
      </w:pPr>
      <w:r>
        <w:t xml:space="preserve">We used the Healthcare Cost and Utilization Project (HCUP) National Inpatient Sample (NIS),</w:t>
      </w:r>
      <w:r>
        <w:t xml:space="preserve"> </w:t>
      </w:r>
      <w:r>
        <w:rPr>
          <w:b/>
          <w:bCs/>
        </w:rPr>
        <w:t xml:space="preserve">2017–2022</w:t>
      </w:r>
      <w:r>
        <w:t xml:space="preserve">, a stratified, nationally representative sample of U.S. hospital discharges. All analyses accounted for the NIS complex survey design (hospital clustering, stratification, and discharge weights).</w:t>
      </w:r>
    </w:p>
    <w:bookmarkEnd w:id="9"/>
    <w:bookmarkStart w:id="10" w:name="study-population"/>
    <w:p>
      <w:pPr>
        <w:pStyle w:val="Heading2"/>
      </w:pPr>
      <w:r>
        <w:t xml:space="preserve">Study population</w:t>
      </w:r>
    </w:p>
    <w:p>
      <w:pPr>
        <w:pStyle w:val="FirstParagraph"/>
      </w:pPr>
      <w:r>
        <w:t xml:space="preserve">We included discharges meeting all of the following: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 ≥ 18 years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Pulmonary embolism</w:t>
      </w:r>
      <w:r>
        <w:t xml:space="preserve"> </w:t>
      </w:r>
      <w:r>
        <w:t xml:space="preserve">present (ICD-10-CM diagnosis codes:</w:t>
      </w:r>
      <w:r>
        <w:t xml:space="preserve"> </w:t>
      </w:r>
      <w:r>
        <w:rPr>
          <w:i/>
          <w:iCs/>
        </w:rPr>
        <w:t xml:space="preserve">I26.01, I26.02, I26.04, I26.09, I26.90, I26.92, I26.93, I26.94, I26.96, I26.99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Cardiogenic shock</w:t>
      </w:r>
      <w:r>
        <w:t xml:space="preserve"> </w:t>
      </w:r>
      <w:r>
        <w:t xml:space="preserve">present (ICD-10-CM:</w:t>
      </w:r>
      <w:r>
        <w:t xml:space="preserve"> </w:t>
      </w:r>
      <w:r>
        <w:rPr>
          <w:i/>
          <w:iCs/>
        </w:rPr>
        <w:t xml:space="preserve">R57.0</w:t>
      </w:r>
      <w:r>
        <w:t xml:space="preserve">)</w:t>
      </w:r>
    </w:p>
    <w:bookmarkEnd w:id="10"/>
    <w:bookmarkStart w:id="11" w:name="exposure"/>
    <w:p>
      <w:pPr>
        <w:pStyle w:val="Heading2"/>
      </w:pPr>
      <w:r>
        <w:t xml:space="preserve">Exposure</w:t>
      </w:r>
    </w:p>
    <w:p>
      <w:pPr>
        <w:pStyle w:val="FirstParagraph"/>
      </w:pPr>
      <w:r>
        <w:rPr>
          <w:b/>
          <w:bCs/>
        </w:rPr>
        <w:t xml:space="preserve">Impella RP use</w:t>
      </w:r>
      <w:r>
        <w:t xml:space="preserve"> </w:t>
      </w:r>
      <w:r>
        <w:t xml:space="preserve">was defined by ICD-10-PCS procedure codes</w:t>
      </w:r>
      <w:r>
        <w:t xml:space="preserve"> </w:t>
      </w:r>
      <w:r>
        <w:rPr>
          <w:i/>
          <w:iCs/>
        </w:rPr>
        <w:t xml:space="preserve">02HA3RZ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5A0221D</w:t>
      </w:r>
      <w:r>
        <w:t xml:space="preserve"> </w:t>
      </w:r>
      <w:r>
        <w:t xml:space="preserve">during the index hospitalization.</w:t>
      </w:r>
    </w:p>
    <w:bookmarkEnd w:id="11"/>
    <w:bookmarkStart w:id="12" w:name="covariates"/>
    <w:p>
      <w:pPr>
        <w:pStyle w:val="Heading2"/>
      </w:pPr>
      <w:r>
        <w:t xml:space="preserve">Covariates</w:t>
      </w:r>
    </w:p>
    <w:p>
      <w:pPr>
        <w:pStyle w:val="FirstParagraph"/>
      </w:pPr>
      <w:r>
        <w:t xml:space="preserve">Covariates were prespecified based on clinical relevance and availability in NIS: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Demographics:</w:t>
      </w:r>
      <w:r>
        <w:t xml:space="preserve"> </w:t>
      </w:r>
      <w:r>
        <w:t xml:space="preserve">age, sex, race (collapsed category), primary payer (collapsed category), ZIP-code income quartile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Hospital factors:</w:t>
      </w:r>
      <w:r>
        <w:t xml:space="preserve"> </w:t>
      </w:r>
      <w:r>
        <w:t xml:space="preserve">region, bed size, location/teaching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Transfer status:</w:t>
      </w:r>
      <w:r>
        <w:t xml:space="preserve"> </w:t>
      </w:r>
      <w:r>
        <w:t xml:space="preserve">transfer-in, transfer-out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Clinical factors:</w:t>
      </w:r>
      <w:r>
        <w:t xml:space="preserve"> </w:t>
      </w:r>
      <w:r>
        <w:t xml:space="preserve">right ventricular failure, left ventricular failure, Charlson comorbidity index, and year of admission</w:t>
      </w:r>
    </w:p>
    <w:p>
      <w:pPr>
        <w:pStyle w:val="BodyText"/>
      </w:pPr>
      <w:r>
        <w:t xml:space="preserve">Race and payer were collapsed for analytic stability (Native American → “Other”; Self-pay and No charge → “Other”).</w:t>
      </w:r>
    </w:p>
    <w:bookmarkEnd w:id="12"/>
    <w:bookmarkStart w:id="13" w:name="outcomes"/>
    <w:p>
      <w:pPr>
        <w:pStyle w:val="Heading2"/>
      </w:pPr>
      <w:r>
        <w:t xml:space="preserve">Outcomes</w:t>
      </w:r>
    </w:p>
    <w:p>
      <w:pPr>
        <w:pStyle w:val="FirstParagraph"/>
      </w:pPr>
      <w:r>
        <w:t xml:space="preserve">Prespecified in-hospital outcomes were: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In-hospital mortality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 bleeding and/or transfusion</w:t>
      </w:r>
      <w:r>
        <w:t xml:space="preserve"> </w:t>
      </w:r>
      <w:r>
        <w:t xml:space="preserve">(intracranial hemorrhage diagnosis codes</w:t>
      </w:r>
      <w:r>
        <w:t xml:space="preserve"> </w:t>
      </w:r>
      <w:r>
        <w:rPr>
          <w:i/>
          <w:iCs/>
        </w:rPr>
        <w:t xml:space="preserve">I60–I62</w:t>
      </w:r>
      <w:r>
        <w:t xml:space="preserve"> </w:t>
      </w:r>
      <w:r>
        <w:t xml:space="preserve">and/or blood product transfusion procedures; see Appendix)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Acute kidney injury</w:t>
      </w:r>
      <w:r>
        <w:t xml:space="preserve"> </w:t>
      </w:r>
      <w:r>
        <w:t xml:space="preserve">(ICD-10-CM:</w:t>
      </w:r>
      <w:r>
        <w:t xml:space="preserve"> </w:t>
      </w:r>
      <w:r>
        <w:rPr>
          <w:i/>
          <w:iCs/>
        </w:rPr>
        <w:t xml:space="preserve">N17.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Length of stay (LOS)</w:t>
      </w:r>
      <w:r>
        <w:t xml:space="preserve">,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Inflation-adjusted total cost</w:t>
      </w:r>
      <w:r>
        <w:t xml:space="preserve">, in</w:t>
      </w:r>
      <w:r>
        <w:t xml:space="preserve"> </w:t>
      </w:r>
      <w:r>
        <w:rPr>
          <w:b/>
          <w:bCs/>
        </w:rPr>
        <w:t xml:space="preserve">2022 U.S. dollars</w:t>
      </w:r>
      <w:r>
        <w:t xml:space="preserve">, computed from total charges using the HCUP cost-to-charge ratio and adjusted using annual Consumer Price Index ratios</w:t>
      </w:r>
    </w:p>
    <w:bookmarkEnd w:id="13"/>
    <w:bookmarkStart w:id="16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t xml:space="preserve">We report survey-weighted descriptive statistics and compare groups by Impella RP status.</w:t>
      </w:r>
    </w:p>
    <w:bookmarkStart w:id="14" w:name="primary-approach-propensity-score-iptw"/>
    <w:p>
      <w:pPr>
        <w:pStyle w:val="Heading3"/>
      </w:pPr>
      <w:r>
        <w:t xml:space="preserve">Primary approach: propensity score IPTW</w:t>
      </w:r>
    </w:p>
    <w:p>
      <w:pPr>
        <w:pStyle w:val="FirstParagraph"/>
      </w:pPr>
      <w:r>
        <w:t xml:space="preserve">Primary associations were estimated using</w:t>
      </w:r>
      <w:r>
        <w:t xml:space="preserve"> </w:t>
      </w:r>
      <w:r>
        <w:rPr>
          <w:b/>
          <w:bCs/>
        </w:rPr>
        <w:t xml:space="preserve">propensity score IPTW</w:t>
      </w:r>
      <w:r>
        <w:t xml:space="preserve"> </w:t>
      </w:r>
      <w:r>
        <w:t xml:space="preserve">to create a weighted pseudo-population in which measured baseline covariates were balanced between treatment groups. IPTW weights were estimated for the</w:t>
      </w:r>
      <w:r>
        <w:t xml:space="preserve"> </w:t>
      </w:r>
      <w:r>
        <w:rPr>
          <w:b/>
          <w:bCs/>
        </w:rPr>
        <w:t xml:space="preserve">average treatment effect on the treated (ATT)</w:t>
      </w:r>
      <w:r>
        <w:t xml:space="preserve">. Conceptually, the ATT answers:</w:t>
      </w:r>
    </w:p>
    <w:p>
      <w:pPr>
        <w:pStyle w:val="BlockText"/>
      </w:pPr>
      <w:r>
        <w:t xml:space="preserve">Among hospitalizations that received Impella RP, what would outcomes have been if they had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received Impella RP?</w:t>
      </w:r>
    </w:p>
    <w:p>
      <w:pPr>
        <w:pStyle w:val="FirstParagraph"/>
      </w:pPr>
      <w:r>
        <w:t xml:space="preserve">To preserve national representativeness and account for the NIS complex survey design, we combined weights as:</w:t>
      </w:r>
    </w:p>
    <w:p>
      <w:pPr>
        <w:pStyle w:val="BodyText"/>
      </w:pPr>
      <w:r>
        <w:rPr>
          <w:b/>
          <w:bCs/>
        </w:rPr>
        <w:t xml:space="preserve">Final analysis weight = (NIS discharge weight) × (IPTW)</w:t>
      </w:r>
    </w:p>
    <w:p>
      <w:pPr>
        <w:pStyle w:val="BodyText"/>
      </w:pPr>
      <w:r>
        <w:t xml:space="preserve">We assessed covariate balance using standardized mean differences (SMDs) before and after weighting and visualized balance with a Love plot.</w:t>
      </w:r>
    </w:p>
    <w:bookmarkEnd w:id="14"/>
    <w:bookmarkStart w:id="15" w:name="outcome-models-iptw-weighted"/>
    <w:p>
      <w:pPr>
        <w:pStyle w:val="Heading3"/>
      </w:pPr>
      <w:r>
        <w:t xml:space="preserve">Outcome models (IPTW-weighted)</w:t>
      </w:r>
    </w:p>
    <w:p>
      <w:pPr>
        <w:pStyle w:val="FirstParagraph"/>
      </w:pPr>
      <w:r>
        <w:t xml:space="preserve">Outcome models were fit using the IPTW-weighted survey design: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Binary outcomes:</w:t>
      </w:r>
      <w:r>
        <w:t xml:space="preserve"> </w:t>
      </w:r>
      <w:r>
        <w:t xml:space="preserve">survey-weighted generalized linear models with quasibinomial family; reported as odds ratios (OR) with 95% confidence intervals (CI)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 and total cost:</w:t>
      </w:r>
      <w:r>
        <w:t xml:space="preserve"> </w:t>
      </w:r>
      <w:r>
        <w:t xml:space="preserve">survey-weighted Gaussian models of</w:t>
      </w:r>
      <w:r>
        <w:t xml:space="preserve"> </w:t>
      </w:r>
      <w:r>
        <w:rPr>
          <w:b/>
          <w:bCs/>
        </w:rPr>
        <w:t xml:space="preserve">log(1 + outcome)</w:t>
      </w:r>
      <w:r>
        <w:t xml:space="preserve">; exponentiated coefficients are reported as ratios (exp[β]) with 95% CI</w:t>
      </w:r>
    </w:p>
    <w:bookmarkEnd w:id="15"/>
    <w:bookmarkEnd w:id="16"/>
    <w:bookmarkEnd w:id="17"/>
    <w:bookmarkStart w:id="18" w:name="baseline-characteristics"/>
    <w:p>
      <w:pPr>
        <w:pStyle w:val="Heading1"/>
      </w:pPr>
      <w:r>
        <w:t xml:space="preserve">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53,355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51,965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1,390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24,050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23,555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29,305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28,410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895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1,090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1,060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11,385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11,170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4,270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4,220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1,985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1,920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32,665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31,715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950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9,200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9,035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27,455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26,830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3,885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3,770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12,730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12,245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16,205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15,815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13,850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13,475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12,260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11,910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9,895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9,635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12,345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12,050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8,635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8,420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20,280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19,710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12,095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11,785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33,640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32,710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12,715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12,395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7,000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6,860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1,985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1,940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6,500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6,370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44,870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43,655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1,215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of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4,500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4,430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10,520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10,270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38,335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37,265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1,070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18"/>
    <w:bookmarkStart w:id="19" w:name="unadjusted-outcomes"/>
    <w:p>
      <w:pPr>
        <w:pStyle w:val="Heading1"/>
      </w:pPr>
      <w:r>
        <w:t xml:space="preserve">Unadjusted outcomes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53,355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51,965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1,390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20,165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19,555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(4, 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(4, 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(4, 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cost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45,310 (23,695, 93,410)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44,059 (23,240, 90,785)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122,986 (70,352, 211,158)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Major bleeding and/or transfusion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9,030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8,710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35,500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34,440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19"/>
    <w:bookmarkStart w:id="24" w:name="propensity-score-iptw"/>
    <w:p>
      <w:pPr>
        <w:pStyle w:val="Heading1"/>
      </w:pPr>
      <w:r>
        <w:t xml:space="preserve">Propensity score IPTW</w:t>
      </w:r>
    </w:p>
    <w:p>
      <w:pPr>
        <w:pStyle w:val="SourceCode"/>
      </w:pPr>
      <w:r>
        <w:rPr>
          <w:rStyle w:val="VerbatimChar"/>
        </w:rPr>
        <w:t xml:space="preserve">      n treated_n      att_min att_p99 att_max</w:t>
      </w:r>
      <w:r>
        <w:br/>
      </w:r>
      <w:r>
        <w:rPr>
          <w:rStyle w:val="VerbatimChar"/>
        </w:rPr>
        <w:t xml:space="preserve">1 10671       278 3.230975e-08       1       1</w:t>
      </w:r>
    </w:p>
    <w:bookmarkStart w:id="23" w:name="covariate-balance-diagnostics"/>
    <w:p>
      <w:pPr>
        <w:pStyle w:val="Heading2"/>
      </w:pPr>
      <w:r>
        <w:t xml:space="preserve">Covariate balance diagnostics</w:t>
      </w:r>
    </w:p>
    <w:p>
      <w:pPr>
        <w:pStyle w:val="FirstParagraph"/>
      </w:pPr>
      <w:r>
        <w:t xml:space="preserve">We assessed balance using standardized mean differences (SMDs) before and after ATT weighting (target absolute SMD &lt; 0.10).</w:t>
      </w:r>
    </w:p>
    <w:p>
      <w:pPr>
        <w:pStyle w:val="SourceCode"/>
      </w:pPr>
      <w:r>
        <w:rPr>
          <w:rStyle w:val="VerbatimChar"/>
        </w:rPr>
        <w:t xml:space="preserve">Balance Measures</w:t>
      </w:r>
      <w:r>
        <w:br/>
      </w:r>
      <w:r>
        <w:rPr>
          <w:rStyle w:val="VerbatimChar"/>
        </w:rPr>
        <w:t xml:space="preserve">                                        Type Diff.Un Diff.Adj    M.Threshold</w:t>
      </w:r>
      <w:r>
        <w:br/>
      </w:r>
      <w:r>
        <w:rPr>
          <w:rStyle w:val="VerbatimChar"/>
        </w:rPr>
        <w:t xml:space="preserve">prop.score                          Distance  0.6400   0.0417 Balanced, &lt;0.1</w:t>
      </w:r>
      <w:r>
        <w:br/>
      </w:r>
      <w:r>
        <w:rPr>
          <w:rStyle w:val="VerbatimChar"/>
        </w:rPr>
        <w:t xml:space="preserve">AGE                                  Contin. -0.1515   0.0010 Balanced, &lt;0.1</w:t>
      </w:r>
      <w:r>
        <w:br/>
      </w:r>
      <w:r>
        <w:rPr>
          <w:rStyle w:val="VerbatimChar"/>
        </w:rPr>
        <w:t xml:space="preserve">FEMALE_Male                           Binary  0.0972   0.0008 Balanced, &lt;0.1</w:t>
      </w:r>
      <w:r>
        <w:br/>
      </w:r>
      <w:r>
        <w:rPr>
          <w:rStyle w:val="VerbatimChar"/>
        </w:rPr>
        <w:t xml:space="preserve">RACE_alt_Asian or Pacific Islander    Binary  0.0017   0.0002 Balanced, &lt;0.1</w:t>
      </w:r>
      <w:r>
        <w:br/>
      </w:r>
      <w:r>
        <w:rPr>
          <w:rStyle w:val="VerbatimChar"/>
        </w:rPr>
        <w:t xml:space="preserve">RACE_alt_Black                        Binary -0.0589  -0.0004 Balanced, &lt;0.1</w:t>
      </w:r>
      <w:r>
        <w:br/>
      </w:r>
      <w:r>
        <w:rPr>
          <w:rStyle w:val="VerbatimChar"/>
        </w:rPr>
        <w:t xml:space="preserve">RACE_alt_Hispanic                     Binary -0.0461   0.0001 Balanced, &lt;0.1</w:t>
      </w:r>
      <w:r>
        <w:br/>
      </w:r>
      <w:r>
        <w:rPr>
          <w:rStyle w:val="VerbatimChar"/>
        </w:rPr>
        <w:t xml:space="preserve">RACE_alt_Other                        Binary  0.0113   0.0011 Balanced, &lt;0.1</w:t>
      </w:r>
      <w:r>
        <w:br/>
      </w:r>
      <w:r>
        <w:rPr>
          <w:rStyle w:val="VerbatimChar"/>
        </w:rPr>
        <w:t xml:space="preserve">RACE_alt_White                        Binary  0.0920  -0.0010 Balanced, &lt;0.1</w:t>
      </w:r>
      <w:r>
        <w:br/>
      </w:r>
      <w:r>
        <w:rPr>
          <w:rStyle w:val="VerbatimChar"/>
        </w:rPr>
        <w:t xml:space="preserve">RACE_alt:&lt;NA&gt;                         Binary  0.0214   0.0010 Balanced, &lt;0.1</w:t>
      </w:r>
      <w:r>
        <w:br/>
      </w:r>
      <w:r>
        <w:rPr>
          <w:rStyle w:val="VerbatimChar"/>
        </w:rPr>
        <w:t xml:space="preserve">PAY1_alt_Medicaid                     Binary -0.0554  -0.0003 Balanced, &lt;0.1</w:t>
      </w:r>
      <w:r>
        <w:br/>
      </w:r>
      <w:r>
        <w:rPr>
          <w:rStyle w:val="VerbatimChar"/>
        </w:rPr>
        <w:t xml:space="preserve">PAY1_alt_Medicare                     Binary -0.0675   0.0000 Balanced, &lt;0.1</w:t>
      </w:r>
      <w:r>
        <w:br/>
      </w:r>
      <w:r>
        <w:rPr>
          <w:rStyle w:val="VerbatimChar"/>
        </w:rPr>
        <w:t xml:space="preserve">PAY1_alt_Other                        Binary  0.0101  -0.0004 Balanced, &lt;0.1</w:t>
      </w:r>
      <w:r>
        <w:br/>
      </w:r>
      <w:r>
        <w:rPr>
          <w:rStyle w:val="VerbatimChar"/>
        </w:rPr>
        <w:t xml:space="preserve">PAY1_alt_Private                      Binary  0.1129   0.0008 Balanced, &lt;0.1</w:t>
      </w:r>
      <w:r>
        <w:br/>
      </w:r>
      <w:r>
        <w:rPr>
          <w:rStyle w:val="VerbatimChar"/>
        </w:rPr>
        <w:t xml:space="preserve">PAY1_alt:&lt;NA&gt;                         Binary -0.0016  -0.0000 Balanced, &lt;0.1</w:t>
      </w:r>
      <w:r>
        <w:br/>
      </w:r>
      <w:r>
        <w:rPr>
          <w:rStyle w:val="VerbatimChar"/>
        </w:rPr>
        <w:t xml:space="preserve">ZIPINC_QRTL_Q1                        Binary -0.0275   0.0006 Balanced, &lt;0.1</w:t>
      </w:r>
      <w:r>
        <w:br/>
      </w:r>
      <w:r>
        <w:rPr>
          <w:rStyle w:val="VerbatimChar"/>
        </w:rPr>
        <w:t xml:space="preserve">ZIPINC_QRTL_Q2                        Binary  0.0077  -0.0008 Balanced, &lt;0.1</w:t>
      </w:r>
      <w:r>
        <w:br/>
      </w:r>
      <w:r>
        <w:rPr>
          <w:rStyle w:val="VerbatimChar"/>
        </w:rPr>
        <w:t xml:space="preserve">ZIPINC_QRTL_Q3                        Binary  0.0203   0.0014 Balanced, &lt;0.1</w:t>
      </w:r>
      <w:r>
        <w:br/>
      </w:r>
      <w:r>
        <w:rPr>
          <w:rStyle w:val="VerbatimChar"/>
        </w:rPr>
        <w:t xml:space="preserve">ZIPINC_QRTL_Q4                        Binary -0.0004  -0.0012 Balanced, &lt;0.1</w:t>
      </w:r>
      <w:r>
        <w:br/>
      </w:r>
      <w:r>
        <w:rPr>
          <w:rStyle w:val="VerbatimChar"/>
        </w:rPr>
        <w:t xml:space="preserve">ZIPINC_QRTL:&lt;NA&gt;                      Binary -0.0110  -0.0001 Balanced, &lt;0.1</w:t>
      </w:r>
      <w:r>
        <w:br/>
      </w:r>
      <w:r>
        <w:rPr>
          <w:rStyle w:val="VerbatimChar"/>
        </w:rPr>
        <w:t xml:space="preserve">HOSP_REGION_Midwest                   Binary -0.0197  -0.0000 Balanced, &lt;0.1</w:t>
      </w:r>
      <w:r>
        <w:br/>
      </w:r>
      <w:r>
        <w:rPr>
          <w:rStyle w:val="VerbatimChar"/>
        </w:rPr>
        <w:t xml:space="preserve">HOSP_REGION_Northeast                 Binary -0.0074   0.0009 Balanced, &lt;0.1</w:t>
      </w:r>
      <w:r>
        <w:br/>
      </w:r>
      <w:r>
        <w:rPr>
          <w:rStyle w:val="VerbatimChar"/>
        </w:rPr>
        <w:t xml:space="preserve">HOSP_REGION_South                     Binary  0.0308  -0.0004 Balanced, &lt;0.1</w:t>
      </w:r>
      <w:r>
        <w:br/>
      </w:r>
      <w:r>
        <w:rPr>
          <w:rStyle w:val="VerbatimChar"/>
        </w:rPr>
        <w:t xml:space="preserve">HOSP_REGION_West                      Binary -0.0038  -0.0005 Balanced, &lt;0.1</w:t>
      </w:r>
      <w:r>
        <w:br/>
      </w:r>
      <w:r>
        <w:rPr>
          <w:rStyle w:val="VerbatimChar"/>
        </w:rPr>
        <w:t xml:space="preserve">HOSP_BEDSIZE_Large                    Binary  0.0396  -0.0002 Balanced, &lt;0.1</w:t>
      </w:r>
      <w:r>
        <w:br/>
      </w:r>
      <w:r>
        <w:rPr>
          <w:rStyle w:val="VerbatimChar"/>
        </w:rPr>
        <w:t xml:space="preserve">HOSP_BEDSIZE_Medium                   Binary -0.0083  -0.0006 Balanced, &lt;0.1</w:t>
      </w:r>
      <w:r>
        <w:br/>
      </w:r>
      <w:r>
        <w:rPr>
          <w:rStyle w:val="VerbatimChar"/>
        </w:rPr>
        <w:t xml:space="preserve">HOSP_BEDSIZE_Small                    Binary -0.0313   0.0008 Balanced, &lt;0.1</w:t>
      </w:r>
      <w:r>
        <w:br/>
      </w:r>
      <w:r>
        <w:rPr>
          <w:rStyle w:val="VerbatimChar"/>
        </w:rPr>
        <w:t xml:space="preserve">HOSP_LOCTEACH_Rural                   Binary -0.0050   0.0001 Balanced, &lt;0.1</w:t>
      </w:r>
      <w:r>
        <w:br/>
      </w:r>
      <w:r>
        <w:rPr>
          <w:rStyle w:val="VerbatimChar"/>
        </w:rPr>
        <w:t xml:space="preserve">HOSP_LOCTEACH_Urban, non-teaching     Binary -0.0291  -0.0002 Balanced, &lt;0.1</w:t>
      </w:r>
      <w:r>
        <w:br/>
      </w:r>
      <w:r>
        <w:rPr>
          <w:rStyle w:val="VerbatimChar"/>
        </w:rPr>
        <w:t xml:space="preserve">HOSP_LOCTEACH_Urban, teaching         Binary  0.0340   0.0000 Balanced, &lt;0.1</w:t>
      </w:r>
      <w:r>
        <w:br/>
      </w:r>
      <w:r>
        <w:rPr>
          <w:rStyle w:val="VerbatimChar"/>
        </w:rPr>
        <w:t xml:space="preserve">TRAN_IN_No transfer                   Binary -0.1186  -0.0013 Balanced, &lt;0.1</w:t>
      </w:r>
      <w:r>
        <w:br/>
      </w:r>
      <w:r>
        <w:rPr>
          <w:rStyle w:val="VerbatimChar"/>
        </w:rPr>
        <w:t xml:space="preserve">TRAN_IN_Transferred from acute-care   Binary  0.1317   0.0016 Balanced, &lt;0.1</w:t>
      </w:r>
      <w:r>
        <w:br/>
      </w:r>
      <w:r>
        <w:rPr>
          <w:rStyle w:val="VerbatimChar"/>
        </w:rPr>
        <w:t xml:space="preserve">TRAN_IN_Transferred from other        Binary -0.0131  -0.0003 Balanced, &lt;0.1</w:t>
      </w:r>
      <w:r>
        <w:br/>
      </w:r>
      <w:r>
        <w:rPr>
          <w:rStyle w:val="VerbatimChar"/>
        </w:rPr>
        <w:t xml:space="preserve">TRAN_IN:&lt;NA&gt;                          Binary  0.0024   0.0003 Balanced, &lt;0.1</w:t>
      </w:r>
      <w:r>
        <w:br/>
      </w:r>
      <w:r>
        <w:rPr>
          <w:rStyle w:val="VerbatimChar"/>
        </w:rPr>
        <w:t xml:space="preserve">TRAN_OUT_No transfer                  Binary -0.0051  -0.0011 Balanced, &lt;0.1</w:t>
      </w:r>
      <w:r>
        <w:br/>
      </w:r>
      <w:r>
        <w:rPr>
          <w:rStyle w:val="VerbatimChar"/>
        </w:rPr>
        <w:t xml:space="preserve">TRAN_OUT_Transferred to acute-care    Binary  0.0099   0.0003 Balanced, &lt;0.1</w:t>
      </w:r>
      <w:r>
        <w:br/>
      </w:r>
      <w:r>
        <w:rPr>
          <w:rStyle w:val="VerbatimChar"/>
        </w:rPr>
        <w:t xml:space="preserve">TRAN_OUT_Transferred to other         Binary -0.0048   0.0008 Balanced, &lt;0.1</w:t>
      </w:r>
      <w:r>
        <w:br/>
      </w:r>
      <w:r>
        <w:rPr>
          <w:rStyle w:val="VerbatimChar"/>
        </w:rPr>
        <w:t xml:space="preserve">TRAN_OUT:&lt;NA&gt;                         Binary -0.0003  -0.0000 Balanced, &lt;0.1</w:t>
      </w:r>
      <w:r>
        <w:br/>
      </w:r>
      <w:r>
        <w:rPr>
          <w:rStyle w:val="VerbatimChar"/>
        </w:rPr>
        <w:t xml:space="preserve">RV_Failure_Yes                        Binary -0.0044  -0.0013 Balanced, &lt;0.1</w:t>
      </w:r>
      <w:r>
        <w:br/>
      </w:r>
      <w:r>
        <w:rPr>
          <w:rStyle w:val="VerbatimChar"/>
        </w:rPr>
        <w:t xml:space="preserve">LV_Failure_Yes                        Binary  0.2093   0.0011 Balanced, &lt;0.1</w:t>
      </w:r>
      <w:r>
        <w:br/>
      </w:r>
      <w:r>
        <w:rPr>
          <w:rStyle w:val="VerbatimChar"/>
        </w:rPr>
        <w:t xml:space="preserve">charlindex                           Contin.  0.0636   0.0020 Balanced, &lt;0.1</w:t>
      </w:r>
      <w:r>
        <w:br/>
      </w:r>
      <w:r>
        <w:rPr>
          <w:rStyle w:val="VerbatimChar"/>
        </w:rPr>
        <w:t xml:space="preserve">YEAR_2017.000                         Binary -0.0282   0.0004 Balanced, &lt;0.1</w:t>
      </w:r>
      <w:r>
        <w:br/>
      </w:r>
      <w:r>
        <w:rPr>
          <w:rStyle w:val="VerbatimChar"/>
        </w:rPr>
        <w:t xml:space="preserve">YEAR_2018.000                         Binary  0.0449   0.0002 Balanced, &lt;0.1</w:t>
      </w:r>
      <w:r>
        <w:br/>
      </w:r>
      <w:r>
        <w:rPr>
          <w:rStyle w:val="VerbatimChar"/>
        </w:rPr>
        <w:t xml:space="preserve">YEAR_2019.000                         Binary  0.0130  -0.0005 Balanced, &lt;0.1</w:t>
      </w:r>
      <w:r>
        <w:br/>
      </w:r>
      <w:r>
        <w:rPr>
          <w:rStyle w:val="VerbatimChar"/>
        </w:rPr>
        <w:t xml:space="preserve">YEAR_2020.000                         Binary -0.0047  -0.0002 Balanced, &lt;0.1</w:t>
      </w:r>
      <w:r>
        <w:br/>
      </w:r>
      <w:r>
        <w:rPr>
          <w:rStyle w:val="VerbatimChar"/>
        </w:rPr>
        <w:t xml:space="preserve">YEAR_2021.000                         Binary -0.0375  -0.0003 Balanced, &lt;0.1</w:t>
      </w:r>
      <w:r>
        <w:br/>
      </w:r>
      <w:r>
        <w:rPr>
          <w:rStyle w:val="VerbatimChar"/>
        </w:rPr>
        <w:t xml:space="preserve">YEAR_2022.000                         Binary  0.0125   0.0004 Balanced, &lt;0.1</w:t>
      </w:r>
      <w:r>
        <w:br/>
      </w:r>
      <w:r>
        <w:br/>
      </w:r>
      <w:r>
        <w:rPr>
          <w:rStyle w:val="VerbatimChar"/>
        </w:rPr>
        <w:t xml:space="preserve">Balance tally for mean differences</w:t>
      </w:r>
      <w:r>
        <w:br/>
      </w:r>
      <w:r>
        <w:rPr>
          <w:rStyle w:val="VerbatimChar"/>
        </w:rPr>
        <w:t xml:space="preserve">                   count</w:t>
      </w:r>
      <w:r>
        <w:br/>
      </w:r>
      <w:r>
        <w:rPr>
          <w:rStyle w:val="VerbatimChar"/>
        </w:rPr>
        <w:t xml:space="preserve">Balanced, &lt;0.1        46</w:t>
      </w:r>
      <w:r>
        <w:br/>
      </w:r>
      <w:r>
        <w:rPr>
          <w:rStyle w:val="VerbatimChar"/>
        </w:rPr>
        <w:t xml:space="preserve">Not Balanced, &gt;0.1     0</w:t>
      </w:r>
      <w:r>
        <w:br/>
      </w:r>
      <w:r>
        <w:br/>
      </w:r>
      <w:r>
        <w:rPr>
          <w:rStyle w:val="VerbatimChar"/>
        </w:rPr>
        <w:t xml:space="preserve">Variable with the greatest mean difference</w:t>
      </w:r>
      <w:r>
        <w:br/>
      </w:r>
      <w:r>
        <w:rPr>
          <w:rStyle w:val="VerbatimChar"/>
        </w:rPr>
        <w:t xml:space="preserve">   Variable Diff.Adj    M.Threshold</w:t>
      </w:r>
      <w:r>
        <w:br/>
      </w:r>
      <w:r>
        <w:rPr>
          <w:rStyle w:val="VerbatimChar"/>
        </w:rPr>
        <w:t xml:space="preserve"> charlindex    0.002 Balanced, &lt;0.1</w:t>
      </w:r>
      <w:r>
        <w:br/>
      </w:r>
      <w:r>
        <w:br/>
      </w:r>
      <w:r>
        <w:rPr>
          <w:rStyle w:val="VerbatimChar"/>
        </w:rPr>
        <w:t xml:space="preserve">Effective sample sizes</w:t>
      </w:r>
      <w:r>
        <w:br/>
      </w:r>
      <w:r>
        <w:rPr>
          <w:rStyle w:val="VerbatimChar"/>
        </w:rPr>
        <w:t xml:space="preserve">                 No Yes</w:t>
      </w:r>
      <w:r>
        <w:br/>
      </w:r>
      <w:r>
        <w:rPr>
          <w:rStyle w:val="VerbatimChar"/>
        </w:rPr>
        <w:t xml:space="preserve">Unadjusted 10393.   278</w:t>
      </w:r>
      <w:r>
        <w:br/>
      </w:r>
      <w:r>
        <w:rPr>
          <w:rStyle w:val="VerbatimChar"/>
        </w:rPr>
        <w:t xml:space="preserve">Adjusted    6486.55 278</w:t>
      </w:r>
    </w:p>
    <w:p>
      <w:pPr>
        <w:pStyle w:val="FirstParagraph"/>
      </w:pPr>
      <w:r>
        <w:drawing>
          <wp:inline>
            <wp:extent cx="5334000" cy="357378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ndex_files/figure-docx/balanc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bookmarkStart w:id="25" w:name="iptw-weighted-descriptive-tables"/>
    <w:p>
      <w:pPr>
        <w:pStyle w:val="Heading1"/>
      </w:pPr>
      <w:r>
        <w:t xml:space="preserve">IPTW-weighted descriptive tables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2,779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1,389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1,390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991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496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495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1,788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893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895 (64%)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950 (73%)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624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625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483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390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751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375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295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570 (41%)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1,859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929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930 (67%)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(10.0%)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2,429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1,214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1,215 (87%)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Transfer 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transfer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1,671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836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835 (61%)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Transferred from acute-care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495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Transferred from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Transfer out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transfer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1,881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941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940 (68%)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Transferred to acute-care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(6.5%)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Transferred to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Right ventricular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292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Left ventricular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1,827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912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915 (66%)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3.29 (2.30)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3.28 (2.32)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3.29 (2.28)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2017.000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(8.6%)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2018.000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255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2019.000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235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2022.000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 (22%)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</w:tbl>
    <w:bookmarkEnd w:id="25"/>
    <w:bookmarkStart w:id="31" w:name="iptw-weighted-outcome-models"/>
    <w:p>
      <w:pPr>
        <w:pStyle w:val="Heading1"/>
      </w:pPr>
      <w:r>
        <w:t xml:space="preserve">IPTW-weighted outcome models</w:t>
      </w:r>
    </w:p>
    <w:bookmarkStart w:id="26" w:name="in-hospital-mortality"/>
    <w:p>
      <w:pPr>
        <w:pStyle w:val="Heading2"/>
      </w:pPr>
      <w:r>
        <w:t xml:space="preserve">In-hospital mortality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Impella RP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major-bleeding-andor-transfusion"/>
    <w:p>
      <w:pPr>
        <w:pStyle w:val="Heading2"/>
      </w:pPr>
      <w:r>
        <w:t xml:space="preserve">Major bleeding and/or transfusion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Impella RP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acute-kidney-injury"/>
    <w:p>
      <w:pPr>
        <w:pStyle w:val="Heading2"/>
      </w:pPr>
      <w:r>
        <w:t xml:space="preserve">Acute kidney injury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Impella RP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Start w:id="29" w:name="length-of-stay-los"/>
    <w:p>
      <w:pPr>
        <w:pStyle w:val="Heading2"/>
      </w:pPr>
      <w:r>
        <w:t xml:space="preserve">Length of stay (LOS)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Impella RP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29"/>
    <w:bookmarkStart w:id="30" w:name="inflation-adjusted-total-cost"/>
    <w:p>
      <w:pPr>
        <w:pStyle w:val="Heading2"/>
      </w:pPr>
      <w:r>
        <w:t xml:space="preserve">Inflation-adjusted total cost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Impella RP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2.31, 2.84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0"/>
    <w:bookmarkEnd w:id="31"/>
    <w:bookmarkStart w:id="32" w:name="X16cc954071ef5fd60855ff4e834ad15a74be81e"/>
    <w:p>
      <w:pPr>
        <w:pStyle w:val="Heading1"/>
      </w:pPr>
      <w:r>
        <w:t xml:space="preserve">Appendix: code groupings used to define study variables</w:t>
      </w:r>
    </w:p>
    <w:p>
      <w:pPr>
        <w:pStyle w:val="FirstParagraph"/>
      </w:pPr>
      <w:r>
        <w:t xml:space="preserve">The following code groupings were used to derive study variables from discharge diagnosis and procedure fields: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Pulmonary embolism:</w:t>
      </w:r>
      <w:r>
        <w:t xml:space="preserve"> </w:t>
      </w:r>
      <w:r>
        <w:t xml:space="preserve">ICD-10-CM</w:t>
      </w:r>
      <w:r>
        <w:t xml:space="preserve"> </w:t>
      </w:r>
      <w:r>
        <w:rPr>
          <w:i/>
          <w:iCs/>
        </w:rPr>
        <w:t xml:space="preserve">I26.01, I26.02, I26.04, I26.09, I26.90, I26.92, I26.93, I26.94, I26.96, I26.99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Cardiogenic shock:</w:t>
      </w:r>
      <w:r>
        <w:t xml:space="preserve"> </w:t>
      </w:r>
      <w:r>
        <w:t xml:space="preserve">ICD-10-CM</w:t>
      </w:r>
      <w:r>
        <w:t xml:space="preserve"> </w:t>
      </w:r>
      <w:r>
        <w:rPr>
          <w:i/>
          <w:iCs/>
        </w:rPr>
        <w:t xml:space="preserve">R57.0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Right ventricular failure:</w:t>
      </w:r>
      <w:r>
        <w:t xml:space="preserve"> </w:t>
      </w:r>
      <w:r>
        <w:t xml:space="preserve">ICD-10-CM</w:t>
      </w:r>
      <w:r>
        <w:t xml:space="preserve"> </w:t>
      </w:r>
      <w:r>
        <w:rPr>
          <w:i/>
          <w:iCs/>
        </w:rPr>
        <w:t xml:space="preserve">I50.810–I50.813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I27.81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Left ventricular failure:</w:t>
      </w:r>
      <w:r>
        <w:t xml:space="preserve"> </w:t>
      </w:r>
      <w:r>
        <w:t xml:space="preserve">ICD-10-CM</w:t>
      </w:r>
      <w:r>
        <w:t xml:space="preserve"> </w:t>
      </w:r>
      <w:r>
        <w:rPr>
          <w:i/>
          <w:iCs/>
        </w:rPr>
        <w:t xml:space="preserve">I50.1, I50.20–I50.23, I50.30–I50.33, I50.40–I50.43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Impella RP:</w:t>
      </w:r>
      <w:r>
        <w:t xml:space="preserve"> </w:t>
      </w:r>
      <w:r>
        <w:t xml:space="preserve">ICD-10-PCS</w:t>
      </w:r>
      <w:r>
        <w:t xml:space="preserve"> </w:t>
      </w:r>
      <w:r>
        <w:rPr>
          <w:i/>
          <w:iCs/>
        </w:rPr>
        <w:t xml:space="preserve">02HA3RZ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5A0221D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Acute kidney injury:</w:t>
      </w:r>
      <w:r>
        <w:t xml:space="preserve"> </w:t>
      </w:r>
      <w:r>
        <w:t xml:space="preserve">ICD-10-CM</w:t>
      </w:r>
      <w:r>
        <w:t xml:space="preserve"> </w:t>
      </w:r>
      <w:r>
        <w:rPr>
          <w:i/>
          <w:iCs/>
        </w:rPr>
        <w:t xml:space="preserve">N17.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 bleeding and/or transfusion:</w:t>
      </w:r>
      <w:r>
        <w:t xml:space="preserve"> </w:t>
      </w:r>
      <w:r>
        <w:t xml:space="preserve">intracranial hemorrhage ICD-10-CM</w:t>
      </w:r>
      <w:r>
        <w:t xml:space="preserve"> </w:t>
      </w:r>
      <w:r>
        <w:rPr>
          <w:i/>
          <w:iCs/>
        </w:rPr>
        <w:t xml:space="preserve">I60–I62</w:t>
      </w:r>
      <w:r>
        <w:t xml:space="preserve"> </w:t>
      </w:r>
      <w:r>
        <w:t xml:space="preserve">and/or blood product transfusion ICD-10-PCS procedure codes (see project code list)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Impella RP in High-Risk Pulmonary Embolism With Cardiogenic Shock</dc:title>
  <dc:creator>Ali Salman</dc:creator>
  <cp:keywords/>
  <dcterms:created xsi:type="dcterms:W3CDTF">2026-04-05T10:45:48Z</dcterms:created>
  <dcterms:modified xsi:type="dcterms:W3CDTF">2026-04-05T10:45:48Z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subtitle">
    <vt:lpwstr>National Inpatient Sample (NIS), 2017–2022</vt:lpwstr>
  </property>
  <property fmtid="{D5CDD505-2E9C-101B-9397-08002B2CF9AE}" pid="14" name="toc-title">
    <vt:lpwstr>Table of contents</vt:lpwstr>
  </property>
</Properties>
</file>