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In-Hospital Outcomes Associated with Left Atrial Appendage Closure in Patients with Atrial Fibrillation and Heart Failure with Reduced Ejection Fraction</w:t>
      </w:r>
    </w:p>
    <w:p>
      <w:pPr>
        <w:pStyle w:val="Subtitle"/>
      </w:pPr>
      <w:r>
        <w:t xml:space="preserve">NIS Analysis for the RCOP Match Mentorship Program</w:t>
      </w:r>
    </w:p>
    <w:p>
      <w:pPr>
        <w:pStyle w:val="Author"/>
      </w:pPr>
      <w:r>
        <w:t xml:space="preserve">Ali Salman</w:t>
      </w:r>
    </w:p>
    <w:bookmarkStart w:id="20" w:name="preamble"/>
    <w:p>
      <w:pPr>
        <w:pStyle w:val="Heading2"/>
      </w:pPr>
      <w:r>
        <w:t xml:space="preserve">Preamble:</w:t>
      </w:r>
    </w:p>
    <w:p>
      <w:pPr>
        <w:numPr>
          <w:ilvl w:val="0"/>
          <w:numId w:val="1001"/>
        </w:numPr>
      </w:pPr>
      <w:r>
        <w:rPr>
          <w:b/>
          <w:bCs/>
        </w:rPr>
        <w:t xml:space="preserve">Study Objective:</w:t>
      </w:r>
      <w:r>
        <w:t xml:space="preserve"> </w:t>
      </w:r>
      <w:r>
        <w:t xml:space="preserve">To evaluate the association between left atrial appendage closure (LAAC) and in-hospital safety outcomes and resource utilization among stable patients hospitalized electively with atrial fibrillation (AF) and heart failure with reduced ejection fraction (HFrEF).</w:t>
      </w:r>
    </w:p>
    <w:p>
      <w:pPr>
        <w:numPr>
          <w:ilvl w:val="0"/>
          <w:numId w:val="1001"/>
        </w:numPr>
      </w:pPr>
      <w:r>
        <w:rPr>
          <w:b/>
          <w:bCs/>
        </w:rPr>
        <w:t xml:space="preserve">Data Source:</w:t>
      </w:r>
      <w:r>
        <w:t xml:space="preserve"> </w:t>
      </w:r>
      <w:r>
        <w:t xml:space="preserve">Retrospective cohort analysis using the National Inpatient Sample (NIS) from 2018 to 2020. The NIS, part of the Healthcare Cost and Utilization Project (HCUP), is the largest all-payer inpatient care database in the United States.</w:t>
      </w:r>
    </w:p>
    <w:p>
      <w:pPr>
        <w:numPr>
          <w:ilvl w:val="0"/>
          <w:numId w:val="1001"/>
        </w:numPr>
      </w:pPr>
      <w:r>
        <w:rPr>
          <w:b/>
          <w:bCs/>
        </w:rPr>
        <w:t xml:space="preserve">Cohort Definition:</w:t>
      </w:r>
    </w:p>
    <w:p>
      <w:pPr>
        <w:numPr>
          <w:ilvl w:val="1"/>
          <w:numId w:val="1002"/>
        </w:numPr>
      </w:pPr>
      <w:r>
        <w:rPr>
          <w:b/>
          <w:bCs/>
        </w:rPr>
        <w:t xml:space="preserve">Inclusion Criteria:</w:t>
      </w:r>
    </w:p>
    <w:p>
      <w:pPr>
        <w:numPr>
          <w:ilvl w:val="2"/>
          <w:numId w:val="1003"/>
        </w:numPr>
      </w:pPr>
      <w:r>
        <w:t xml:space="preserve">Age ≥18 years.</w:t>
      </w:r>
    </w:p>
    <w:p>
      <w:pPr>
        <w:numPr>
          <w:ilvl w:val="2"/>
          <w:numId w:val="1003"/>
        </w:numPr>
      </w:pPr>
      <w:r>
        <w:t xml:space="preserve">Diagnosis of atrial fibrillation (AF) (ICD-10-CM codes I48.*).</w:t>
      </w:r>
    </w:p>
    <w:p>
      <w:pPr>
        <w:numPr>
          <w:ilvl w:val="2"/>
          <w:numId w:val="1003"/>
        </w:numPr>
      </w:pPr>
      <w:r>
        <w:t xml:space="preserve">Diagnosis of heart failure with reduced ejection fraction (HFrEF) (ICD-10-CM codes I502.* or I504.*).</w:t>
      </w:r>
    </w:p>
    <w:p>
      <w:pPr>
        <w:numPr>
          <w:ilvl w:val="2"/>
          <w:numId w:val="1003"/>
        </w:numPr>
      </w:pPr>
      <w:r>
        <w:t xml:space="preserve">Analysis restricted strictly to elective admissions to minimize selection bias by indication and ensure comparability between groups.</w:t>
      </w:r>
    </w:p>
    <w:p>
      <w:pPr>
        <w:numPr>
          <w:ilvl w:val="1"/>
          <w:numId w:val="1002"/>
        </w:numPr>
      </w:pPr>
      <w:r>
        <w:rPr>
          <w:b/>
          <w:bCs/>
        </w:rPr>
        <w:t xml:space="preserve">Exclusion Criteria:</w:t>
      </w:r>
    </w:p>
    <w:p>
      <w:pPr>
        <w:numPr>
          <w:ilvl w:val="2"/>
          <w:numId w:val="1004"/>
        </w:numPr>
      </w:pPr>
      <w:r>
        <w:t xml:space="preserve">HF with preserved EF or unspecified HF.</w:t>
      </w:r>
    </w:p>
    <w:p>
      <w:pPr>
        <w:numPr>
          <w:ilvl w:val="2"/>
          <w:numId w:val="1004"/>
        </w:numPr>
      </w:pPr>
      <w:r>
        <w:t xml:space="preserve">Missing documentation of LAAC status.</w:t>
      </w:r>
    </w:p>
    <w:p>
      <w:pPr>
        <w:numPr>
          <w:ilvl w:val="0"/>
          <w:numId w:val="1001"/>
        </w:numPr>
      </w:pPr>
      <w:r>
        <w:rPr>
          <w:b/>
          <w:bCs/>
        </w:rPr>
        <w:t xml:space="preserve">Exposure:</w:t>
      </w:r>
      <w:r>
        <w:t xml:space="preserve"> </w:t>
      </w:r>
      <w:r>
        <w:t xml:space="preserve">Undergoing percutaneous left atrial appendage closure (LAAC) during the index hospitalization</w:t>
      </w:r>
    </w:p>
    <w:p>
      <w:pPr>
        <w:numPr>
          <w:ilvl w:val="1"/>
          <w:numId w:val="1005"/>
        </w:numPr>
      </w:pPr>
      <w:r>
        <w:t xml:space="preserve">Catheter-Based LAAC Procedures: Defined using ICD-10-PCS procedure codes for percutaneous and percutaneous-endoscopic occlusion of the left atrial appendage:</w:t>
      </w:r>
      <w:r>
        <w:t xml:space="preserve"> </w:t>
      </w:r>
      <w:r>
        <w:rPr>
          <w:rStyle w:val="VerbatimChar"/>
        </w:rPr>
        <w:t xml:space="preserve">02L73DK.*</w:t>
      </w:r>
      <w:r>
        <w:t xml:space="preserve">,</w:t>
      </w:r>
      <w:r>
        <w:t xml:space="preserve"> </w:t>
      </w:r>
      <w:r>
        <w:rPr>
          <w:rStyle w:val="VerbatimChar"/>
        </w:rPr>
        <w:t xml:space="preserve">02L73CK.*</w:t>
      </w:r>
      <w:r>
        <w:t xml:space="preserve">,</w:t>
      </w:r>
      <w:r>
        <w:t xml:space="preserve"> </w:t>
      </w:r>
      <w:r>
        <w:rPr>
          <w:rStyle w:val="VerbatimChar"/>
        </w:rPr>
        <w:t xml:space="preserve">02L73ZK.*</w:t>
      </w:r>
      <w:r>
        <w:t xml:space="preserve">,</w:t>
      </w:r>
      <w:r>
        <w:t xml:space="preserve"> </w:t>
      </w:r>
      <w:r>
        <w:rPr>
          <w:rStyle w:val="VerbatimChar"/>
        </w:rPr>
        <w:t xml:space="preserve">02L74DK.*</w:t>
      </w:r>
      <w:r>
        <w:t xml:space="preserve">,</w:t>
      </w:r>
      <w:r>
        <w:t xml:space="preserve"> </w:t>
      </w:r>
      <w:r>
        <w:rPr>
          <w:rStyle w:val="VerbatimChar"/>
        </w:rPr>
        <w:t xml:space="preserve">02L74CK.*</w:t>
      </w:r>
      <w:r>
        <w:t xml:space="preserve">,</w:t>
      </w:r>
      <w:r>
        <w:t xml:space="preserve"> </w:t>
      </w:r>
      <w:r>
        <w:rPr>
          <w:rStyle w:val="VerbatimChar"/>
        </w:rPr>
        <w:t xml:space="preserve">02L74ZK.*</w:t>
      </w:r>
    </w:p>
    <w:p>
      <w:pPr>
        <w:numPr>
          <w:ilvl w:val="1"/>
          <w:numId w:val="1005"/>
        </w:numPr>
      </w:pPr>
      <w:r>
        <w:t xml:space="preserve">This includes intraluminal devices (e.g., Watchman®, Amulet®), extraluminal devices (e.g., LARIAT®), and suture-based approaches.</w:t>
      </w:r>
    </w:p>
    <w:p>
      <w:pPr>
        <w:numPr>
          <w:ilvl w:val="0"/>
          <w:numId w:val="1001"/>
        </w:numPr>
      </w:pPr>
      <w:r>
        <w:rPr>
          <w:b/>
          <w:bCs/>
        </w:rPr>
        <w:t xml:space="preserve">Outcomes of Interest:</w:t>
      </w:r>
    </w:p>
    <w:p>
      <w:pPr>
        <w:numPr>
          <w:ilvl w:val="1"/>
          <w:numId w:val="1006"/>
        </w:numPr>
      </w:pPr>
      <w:r>
        <w:rPr>
          <w:b/>
          <w:bCs/>
        </w:rPr>
        <w:t xml:space="preserve">Primary Safety Outcome:</w:t>
      </w:r>
      <w:r>
        <w:t xml:space="preserve"> </w:t>
      </w:r>
      <w:r>
        <w:t xml:space="preserve">In-hospital mortality.</w:t>
      </w:r>
    </w:p>
    <w:p>
      <w:pPr>
        <w:numPr>
          <w:ilvl w:val="1"/>
          <w:numId w:val="1006"/>
        </w:numPr>
      </w:pPr>
      <w:r>
        <w:rPr>
          <w:b/>
          <w:bCs/>
        </w:rPr>
        <w:t xml:space="preserve">Secondary Clinical Outcomes:</w:t>
      </w:r>
      <w:r>
        <w:t xml:space="preserve"> </w:t>
      </w:r>
      <w:r>
        <w:t xml:space="preserve">In-hospital stroke (ischemic/hemorrhagic), cardiogenic shock, and major bleeding.</w:t>
      </w:r>
    </w:p>
    <w:p>
      <w:pPr>
        <w:numPr>
          <w:ilvl w:val="1"/>
          <w:numId w:val="1006"/>
        </w:numPr>
      </w:pPr>
      <w:r>
        <w:rPr>
          <w:b/>
          <w:bCs/>
        </w:rPr>
        <w:t xml:space="preserve">Resource Utilization:</w:t>
      </w:r>
      <w:r>
        <w:t xml:space="preserve"> </w:t>
      </w:r>
      <w:r>
        <w:t xml:space="preserve">Length of stay (LOS) and inflation-adjusted total hospitalization charges (in 2020 USD).</w:t>
      </w:r>
    </w:p>
    <w:p>
      <w:pPr>
        <w:numPr>
          <w:ilvl w:val="1"/>
          <w:numId w:val="1006"/>
        </w:numPr>
      </w:pPr>
      <w:r>
        <w:rPr>
          <w:b/>
          <w:bCs/>
        </w:rPr>
        <w:t xml:space="preserve">Discharge Disposition:</w:t>
      </w:r>
      <w:r>
        <w:t xml:space="preserve"> </w:t>
      </w:r>
      <w:r>
        <w:t xml:space="preserve">Favorable discharge (defined as routine discharge to home).</w:t>
      </w:r>
    </w:p>
    <w:p>
      <w:pPr>
        <w:numPr>
          <w:ilvl w:val="0"/>
          <w:numId w:val="1001"/>
        </w:numPr>
      </w:pPr>
      <w:r>
        <w:rPr>
          <w:b/>
          <w:bCs/>
        </w:rPr>
        <w:t xml:space="preserve">Outcome Definitions (ICD-10-CM/PCS Codes):</w:t>
      </w:r>
    </w:p>
    <w:p>
      <w:pPr>
        <w:numPr>
          <w:ilvl w:val="1"/>
          <w:numId w:val="1007"/>
        </w:numPr>
      </w:pPr>
      <w:r>
        <w:t xml:space="preserve">Stroke:</w:t>
      </w:r>
    </w:p>
    <w:p>
      <w:pPr>
        <w:numPr>
          <w:ilvl w:val="2"/>
          <w:numId w:val="1008"/>
        </w:numPr>
      </w:pPr>
      <w:r>
        <w:t xml:space="preserve">ICD-10-CM:</w:t>
      </w:r>
      <w:r>
        <w:t xml:space="preserve"> </w:t>
      </w:r>
      <w:r>
        <w:rPr>
          <w:rStyle w:val="VerbatimChar"/>
        </w:rPr>
        <w:t xml:space="preserve">I60.*</w:t>
      </w:r>
      <w:r>
        <w:t xml:space="preserve">,</w:t>
      </w:r>
      <w:r>
        <w:t xml:space="preserve"> </w:t>
      </w:r>
      <w:r>
        <w:rPr>
          <w:rStyle w:val="VerbatimChar"/>
        </w:rPr>
        <w:t xml:space="preserve">I61.*</w:t>
      </w:r>
      <w:r>
        <w:t xml:space="preserve">,</w:t>
      </w:r>
      <w:r>
        <w:t xml:space="preserve"> </w:t>
      </w:r>
      <w:r>
        <w:rPr>
          <w:rStyle w:val="VerbatimChar"/>
        </w:rPr>
        <w:t xml:space="preserve">I62.*</w:t>
      </w:r>
      <w:r>
        <w:t xml:space="preserve">,</w:t>
      </w:r>
      <w:r>
        <w:t xml:space="preserve"> </w:t>
      </w:r>
      <w:r>
        <w:rPr>
          <w:rStyle w:val="VerbatimChar"/>
        </w:rPr>
        <w:t xml:space="preserve">I63.*</w:t>
      </w:r>
      <w:r>
        <w:t xml:space="preserve">,</w:t>
      </w:r>
      <w:r>
        <w:t xml:space="preserve"> </w:t>
      </w:r>
      <w:r>
        <w:rPr>
          <w:rStyle w:val="VerbatimChar"/>
        </w:rPr>
        <w:t xml:space="preserve">G43601</w:t>
      </w:r>
      <w:r>
        <w:t xml:space="preserve">,</w:t>
      </w:r>
      <w:r>
        <w:t xml:space="preserve"> </w:t>
      </w:r>
      <w:r>
        <w:rPr>
          <w:rStyle w:val="VerbatimChar"/>
        </w:rPr>
        <w:t xml:space="preserve">G43609</w:t>
      </w:r>
      <w:r>
        <w:t xml:space="preserve">,</w:t>
      </w:r>
      <w:r>
        <w:t xml:space="preserve"> </w:t>
      </w:r>
      <w:r>
        <w:rPr>
          <w:rStyle w:val="VerbatimChar"/>
        </w:rPr>
        <w:t xml:space="preserve">G43611</w:t>
      </w:r>
      <w:r>
        <w:t xml:space="preserve">,</w:t>
      </w:r>
      <w:r>
        <w:t xml:space="preserve"> </w:t>
      </w:r>
      <w:r>
        <w:rPr>
          <w:rStyle w:val="VerbatimChar"/>
        </w:rPr>
        <w:t xml:space="preserve">G43619</w:t>
      </w:r>
      <w:r>
        <w:t xml:space="preserve">,</w:t>
      </w:r>
      <w:r>
        <w:t xml:space="preserve"> </w:t>
      </w:r>
      <w:r>
        <w:rPr>
          <w:rStyle w:val="VerbatimChar"/>
        </w:rPr>
        <w:t xml:space="preserve">I97810</w:t>
      </w:r>
      <w:r>
        <w:t xml:space="preserve">,</w:t>
      </w:r>
      <w:r>
        <w:t xml:space="preserve"> </w:t>
      </w:r>
      <w:r>
        <w:rPr>
          <w:rStyle w:val="VerbatimChar"/>
        </w:rPr>
        <w:t xml:space="preserve">I97811</w:t>
      </w:r>
      <w:r>
        <w:t xml:space="preserve">,</w:t>
      </w:r>
      <w:r>
        <w:t xml:space="preserve"> </w:t>
      </w:r>
      <w:r>
        <w:rPr>
          <w:rStyle w:val="VerbatimChar"/>
        </w:rPr>
        <w:t xml:space="preserve">I97820</w:t>
      </w:r>
      <w:r>
        <w:t xml:space="preserve">,</w:t>
      </w:r>
      <w:r>
        <w:t xml:space="preserve"> </w:t>
      </w:r>
      <w:r>
        <w:rPr>
          <w:rStyle w:val="VerbatimChar"/>
        </w:rPr>
        <w:t xml:space="preserve">I97821</w:t>
      </w:r>
      <w:r>
        <w:t xml:space="preserve">,</w:t>
      </w:r>
      <w:r>
        <w:t xml:space="preserve"> </w:t>
      </w:r>
      <w:r>
        <w:rPr>
          <w:rStyle w:val="VerbatimChar"/>
        </w:rPr>
        <w:t xml:space="preserve">R297.*</w:t>
      </w:r>
    </w:p>
    <w:p>
      <w:pPr>
        <w:numPr>
          <w:ilvl w:val="2"/>
          <w:numId w:val="1008"/>
        </w:numPr>
      </w:pPr>
      <w:r>
        <w:t xml:space="preserve">Encompasses ischemic stroke, hemorrhagic stroke, and procedural cerebrovascular complications.</w:t>
      </w:r>
    </w:p>
    <w:p>
      <w:pPr>
        <w:numPr>
          <w:ilvl w:val="1"/>
          <w:numId w:val="1007"/>
        </w:numPr>
      </w:pPr>
      <w:r>
        <w:t xml:space="preserve">Cardiogenic Shock:</w:t>
      </w:r>
    </w:p>
    <w:p>
      <w:pPr>
        <w:pStyle w:val="Compact"/>
        <w:numPr>
          <w:ilvl w:val="2"/>
          <w:numId w:val="1009"/>
        </w:numPr>
      </w:pPr>
      <w:r>
        <w:t xml:space="preserve">ICD-10-CM:</w:t>
      </w:r>
      <w:r>
        <w:t xml:space="preserve"> </w:t>
      </w:r>
      <w:r>
        <w:rPr>
          <w:rStyle w:val="VerbatimChar"/>
        </w:rPr>
        <w:t xml:space="preserve">R570.*</w:t>
      </w:r>
    </w:p>
    <w:p>
      <w:pPr>
        <w:pStyle w:val="Compact"/>
        <w:numPr>
          <w:ilvl w:val="2"/>
          <w:numId w:val="1009"/>
        </w:numPr>
      </w:pPr>
      <w:r>
        <w:t xml:space="preserve">Includes cardiogenic and unspecified shock.</w:t>
      </w:r>
    </w:p>
    <w:p>
      <w:pPr>
        <w:numPr>
          <w:ilvl w:val="1"/>
          <w:numId w:val="1007"/>
        </w:numPr>
      </w:pPr>
      <w:r>
        <w:t xml:space="preserve">Major Bleeding:</w:t>
      </w:r>
    </w:p>
    <w:p>
      <w:pPr>
        <w:numPr>
          <w:ilvl w:val="2"/>
          <w:numId w:val="1010"/>
        </w:numPr>
      </w:pPr>
      <w:r>
        <w:t xml:space="preserve">ICD-10-CM codes:</w:t>
      </w:r>
      <w:r>
        <w:t xml:space="preserve"> </w:t>
      </w:r>
      <w:r>
        <w:rPr>
          <w:rStyle w:val="VerbatimChar"/>
        </w:rPr>
        <w:t xml:space="preserve">I6[0-2].*</w:t>
      </w:r>
      <w:r>
        <w:t xml:space="preserve">,</w:t>
      </w:r>
      <w:r>
        <w:t xml:space="preserve"> </w:t>
      </w:r>
      <w:r>
        <w:rPr>
          <w:rStyle w:val="VerbatimChar"/>
        </w:rPr>
        <w:t xml:space="preserve">I31[24].*</w:t>
      </w:r>
      <w:r>
        <w:t xml:space="preserve">,</w:t>
      </w:r>
      <w:r>
        <w:t xml:space="preserve"> </w:t>
      </w:r>
      <w:r>
        <w:rPr>
          <w:rStyle w:val="VerbatimChar"/>
        </w:rPr>
        <w:t xml:space="preserve">J942.*</w:t>
      </w:r>
      <w:r>
        <w:t xml:space="preserve">,</w:t>
      </w:r>
      <w:r>
        <w:t xml:space="preserve"> </w:t>
      </w:r>
      <w:r>
        <w:rPr>
          <w:rStyle w:val="VerbatimChar"/>
        </w:rPr>
        <w:t xml:space="preserve">K661.*</w:t>
      </w:r>
      <w:r>
        <w:t xml:space="preserve">,</w:t>
      </w:r>
      <w:r>
        <w:t xml:space="preserve"> </w:t>
      </w:r>
      <w:r>
        <w:rPr>
          <w:rStyle w:val="VerbatimChar"/>
        </w:rPr>
        <w:t xml:space="preserve">I97610.*</w:t>
      </w:r>
      <w:r>
        <w:t xml:space="preserve">,</w:t>
      </w:r>
      <w:r>
        <w:t xml:space="preserve"> </w:t>
      </w:r>
      <w:r>
        <w:rPr>
          <w:rStyle w:val="VerbatimChar"/>
        </w:rPr>
        <w:t xml:space="preserve">K2[5-8][0246].*</w:t>
      </w:r>
      <w:r>
        <w:t xml:space="preserve">,</w:t>
      </w:r>
      <w:r>
        <w:t xml:space="preserve"> </w:t>
      </w:r>
      <w:r>
        <w:rPr>
          <w:rStyle w:val="VerbatimChar"/>
        </w:rPr>
        <w:t xml:space="preserve">K29(01|21).*</w:t>
      </w:r>
      <w:r>
        <w:t xml:space="preserve">,</w:t>
      </w:r>
      <w:r>
        <w:t xml:space="preserve"> </w:t>
      </w:r>
      <w:r>
        <w:rPr>
          <w:rStyle w:val="VerbatimChar"/>
        </w:rPr>
        <w:t xml:space="preserve">K31811.*</w:t>
      </w:r>
      <w:r>
        <w:t xml:space="preserve">,</w:t>
      </w:r>
      <w:r>
        <w:t xml:space="preserve"> </w:t>
      </w:r>
      <w:r>
        <w:rPr>
          <w:rStyle w:val="VerbatimChar"/>
        </w:rPr>
        <w:t xml:space="preserve">K3182.*</w:t>
      </w:r>
      <w:r>
        <w:t xml:space="preserve">,</w:t>
      </w:r>
      <w:r>
        <w:t xml:space="preserve"> </w:t>
      </w:r>
      <w:r>
        <w:rPr>
          <w:rStyle w:val="VerbatimChar"/>
        </w:rPr>
        <w:t xml:space="preserve">K5521.*</w:t>
      </w:r>
      <w:r>
        <w:t xml:space="preserve">,</w:t>
      </w:r>
      <w:r>
        <w:t xml:space="preserve"> </w:t>
      </w:r>
      <w:r>
        <w:rPr>
          <w:rStyle w:val="VerbatimChar"/>
        </w:rPr>
        <w:t xml:space="preserve">K625.*</w:t>
      </w:r>
      <w:r>
        <w:t xml:space="preserve">,</w:t>
      </w:r>
      <w:r>
        <w:t xml:space="preserve"> </w:t>
      </w:r>
      <w:r>
        <w:rPr>
          <w:rStyle w:val="VerbatimChar"/>
        </w:rPr>
        <w:t xml:space="preserve">K57..[13].*</w:t>
      </w:r>
      <w:r>
        <w:t xml:space="preserve">,</w:t>
      </w:r>
      <w:r>
        <w:t xml:space="preserve"> </w:t>
      </w:r>
      <w:r>
        <w:rPr>
          <w:rStyle w:val="VerbatimChar"/>
        </w:rPr>
        <w:t xml:space="preserve">K92[0-2].*</w:t>
      </w:r>
      <w:r>
        <w:t xml:space="preserve">,</w:t>
      </w:r>
      <w:r>
        <w:t xml:space="preserve"> </w:t>
      </w:r>
      <w:r>
        <w:rPr>
          <w:rStyle w:val="VerbatimChar"/>
        </w:rPr>
        <w:t xml:space="preserve">R58.*</w:t>
      </w:r>
    </w:p>
    <w:p>
      <w:pPr>
        <w:numPr>
          <w:ilvl w:val="2"/>
          <w:numId w:val="1010"/>
        </w:numPr>
      </w:pPr>
      <w:r>
        <w:t xml:space="preserve">A composite outcome capturing critical-site hemorrhages and gastrointestinal bleeding requiring transfusion.</w:t>
      </w:r>
    </w:p>
    <w:p>
      <w:pPr>
        <w:numPr>
          <w:ilvl w:val="1"/>
          <w:numId w:val="1007"/>
        </w:numPr>
      </w:pPr>
      <w:r>
        <w:t xml:space="preserve">Favorable Discharge:</w:t>
      </w:r>
    </w:p>
    <w:p>
      <w:pPr>
        <w:pStyle w:val="Compact"/>
        <w:numPr>
          <w:ilvl w:val="2"/>
          <w:numId w:val="1011"/>
        </w:numPr>
      </w:pPr>
      <w:r>
        <w:t xml:space="preserve">Defined as routine discharge to home, identified using the NIS</w:t>
      </w:r>
      <w:r>
        <w:t xml:space="preserve"> </w:t>
      </w:r>
      <w:r>
        <w:rPr>
          <w:rStyle w:val="VerbatimChar"/>
        </w:rPr>
        <w:t xml:space="preserve">DISPUNIFORM</w:t>
      </w:r>
      <w:r>
        <w:t xml:space="preserve"> </w:t>
      </w:r>
      <w:r>
        <w:t xml:space="preserve">variable.</w:t>
      </w:r>
    </w:p>
    <w:p>
      <w:pPr>
        <w:numPr>
          <w:ilvl w:val="0"/>
          <w:numId w:val="1001"/>
        </w:numPr>
      </w:pPr>
      <w:r>
        <w:rPr>
          <w:b/>
          <w:bCs/>
        </w:rPr>
        <w:t xml:space="preserve">Covariates &amp; Risk Stratification:</w:t>
      </w:r>
    </w:p>
    <w:p>
      <w:pPr>
        <w:numPr>
          <w:ilvl w:val="1"/>
          <w:numId w:val="1012"/>
        </w:numPr>
      </w:pPr>
      <w:r>
        <w:rPr>
          <w:b/>
          <w:bCs/>
        </w:rPr>
        <w:t xml:space="preserve">Baseline Risk:</w:t>
      </w:r>
      <w:r>
        <w:t xml:space="preserve"> </w:t>
      </w:r>
      <w:r>
        <w:t xml:space="preserve">A modified CHA₂DS₂-VASc score was calculated for each patient using ICD-10 codes.</w:t>
      </w:r>
    </w:p>
    <w:p>
      <w:pPr>
        <w:numPr>
          <w:ilvl w:val="1"/>
          <w:numId w:val="1012"/>
        </w:numPr>
      </w:pPr>
      <w:r>
        <w:rPr>
          <w:b/>
          <w:bCs/>
        </w:rPr>
        <w:t xml:space="preserve">Comorbidities:</w:t>
      </w:r>
      <w:r>
        <w:t xml:space="preserve"> </w:t>
      </w:r>
      <w:r>
        <w:t xml:space="preserve">Elixhauser Comorbidity Index (weighted sum).</w:t>
      </w:r>
    </w:p>
    <w:p>
      <w:pPr>
        <w:numPr>
          <w:ilvl w:val="1"/>
          <w:numId w:val="1012"/>
        </w:numPr>
      </w:pPr>
      <w:r>
        <w:rPr>
          <w:b/>
          <w:bCs/>
        </w:rPr>
        <w:t xml:space="preserve">Demographics/Hospital:</w:t>
      </w:r>
      <w:r>
        <w:t xml:space="preserve"> </w:t>
      </w:r>
      <w:r>
        <w:t xml:space="preserve">Age, sex, race/ethnicity, payer, income quartile, hospital region, bed size, and teaching status.</w:t>
      </w:r>
    </w:p>
    <w:p>
      <w:pPr>
        <w:numPr>
          <w:ilvl w:val="0"/>
          <w:numId w:val="1001"/>
        </w:numPr>
      </w:pPr>
      <w:r>
        <w:rPr>
          <w:b/>
          <w:bCs/>
        </w:rPr>
        <w:t xml:space="preserve">Statistical Methods (Propensity Weighting):</w:t>
      </w:r>
    </w:p>
    <w:p>
      <w:pPr>
        <w:numPr>
          <w:ilvl w:val="1"/>
          <w:numId w:val="1013"/>
        </w:numPr>
      </w:pPr>
      <w:r>
        <w:rPr>
          <w:b/>
          <w:bCs/>
        </w:rPr>
        <w:t xml:space="preserve">Univariable Analysis:</w:t>
      </w:r>
    </w:p>
    <w:p>
      <w:pPr>
        <w:numPr>
          <w:ilvl w:val="2"/>
          <w:numId w:val="1014"/>
        </w:numPr>
      </w:pPr>
      <w:r>
        <w:rPr>
          <w:b/>
          <w:bCs/>
        </w:rPr>
        <w:t xml:space="preserve">Categorical variables:</w:t>
      </w:r>
      <w:r>
        <w:t xml:space="preserve"> </w:t>
      </w:r>
      <w:r>
        <w:t xml:space="preserve">Compared using Pearson’s chi-square test with Rao &amp; Scott adjustment</w:t>
      </w:r>
    </w:p>
    <w:p>
      <w:pPr>
        <w:numPr>
          <w:ilvl w:val="2"/>
          <w:numId w:val="1014"/>
        </w:numPr>
      </w:pPr>
      <w:r>
        <w:rPr>
          <w:b/>
          <w:bCs/>
        </w:rPr>
        <w:t xml:space="preserve">Continuous variables:</w:t>
      </w:r>
      <w:r>
        <w:t xml:space="preserve"> </w:t>
      </w:r>
      <w:r>
        <w:t xml:space="preserve">Analyzed using the design-based Kruskal–Wallis test, a non-parametric alternative suitable for survey-weighted data</w:t>
      </w:r>
    </w:p>
    <w:p>
      <w:pPr>
        <w:numPr>
          <w:ilvl w:val="1"/>
          <w:numId w:val="1013"/>
        </w:numPr>
      </w:pPr>
      <w:r>
        <w:rPr>
          <w:b/>
          <w:bCs/>
        </w:rPr>
        <w:t xml:space="preserve">Propensity Weighted Multivariable Analysis:</w:t>
      </w:r>
    </w:p>
    <w:p>
      <w:pPr>
        <w:numPr>
          <w:ilvl w:val="2"/>
          <w:numId w:val="1015"/>
        </w:numPr>
      </w:pPr>
      <w:r>
        <w:t xml:space="preserve">To account for non-random treatment assignment, we employed Inverse Probability of Treatment Weighting (IPTW) based on propensity scores.</w:t>
      </w:r>
    </w:p>
    <w:p>
      <w:pPr>
        <w:numPr>
          <w:ilvl w:val="2"/>
          <w:numId w:val="1015"/>
        </w:numPr>
      </w:pPr>
      <w:r>
        <w:t xml:space="preserve">Propensity scores were estimated using a logistic regression model including all baseline covariates and the modified CHA₂DS₂-VASc score.</w:t>
      </w:r>
    </w:p>
    <w:p>
      <w:pPr>
        <w:numPr>
          <w:ilvl w:val="2"/>
          <w:numId w:val="1015"/>
        </w:numPr>
      </w:pPr>
      <w:r>
        <w:t xml:space="preserve">Balance was assessed using standardized mean differences (SMD).</w:t>
      </w:r>
    </w:p>
    <w:p>
      <w:pPr>
        <w:numPr>
          <w:ilvl w:val="2"/>
          <w:numId w:val="1015"/>
        </w:numPr>
      </w:pPr>
      <w:r>
        <w:t xml:space="preserve">Outcomes were analyzed using survey-weighted regression models (logistic for binary, linear for continuous) incorporating the IPTW weights to estimate the Average Treatment Effect (ATE). Results are reported as adjusted odds ratios (aOR) or beta coefficients with 95% confidence intervals.</w:t>
      </w:r>
    </w:p>
    <w:p>
      <w:pPr>
        <w:numPr>
          <w:ilvl w:val="0"/>
          <w:numId w:val="1001"/>
        </w:numPr>
      </w:pPr>
      <w:r>
        <w:rPr>
          <w:b/>
          <w:bCs/>
        </w:rPr>
        <w:t xml:space="preserve">Software:</w:t>
      </w:r>
      <w:r>
        <w:t xml:space="preserve"> </w:t>
      </w:r>
      <w:r>
        <w:t xml:space="preserve">All statistical analyses were performed using the R Statistical Language (Version 4.5.2; R Foundation for Statistical Computing, Vienna, Austria), incorporating survey-weighted procedures via the</w:t>
      </w:r>
      <w:r>
        <w:t xml:space="preserve"> </w:t>
      </w:r>
      <w:r>
        <w:rPr>
          <w:i/>
          <w:iCs/>
        </w:rPr>
        <w:t xml:space="preserve">survey</w:t>
      </w:r>
      <w:r>
        <w:t xml:space="preserve"> </w:t>
      </w:r>
      <w:r>
        <w:t xml:space="preserve">package to account for the complex sampling design of NIS.</w:t>
      </w:r>
    </w:p>
    <w:bookmarkEnd w:id="20"/>
    <w:bookmarkStart w:id="21" w:name="baseline-table"/>
    <w:p>
      <w:pPr>
        <w:pStyle w:val="Heading2"/>
      </w:pPr>
      <w:r>
        <w:t xml:space="preserve">Baseline table: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259,965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No</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251,000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Yes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8,965</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 (9)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79,910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77,440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2,470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180,045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173,555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6,490 (72%)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204,620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197,205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7,415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3,955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3,845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24,685 (9.8%)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24,070 (9.9%)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615 (7.1%)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12,830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12,455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375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6,150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5,970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11,755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11,550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205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197,990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190,385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7,605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9,165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8,955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40,780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39,835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 $51,999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73,990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71,665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2,325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$52,000 - $65,999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72,070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69,770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$66,000 - $87,999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61,515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59,340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2,175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$88,000 or more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48,190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46,180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2,010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76,105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73,880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2,225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39,295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37,950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102,145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98,565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3,580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42,420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40,605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148,270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142,455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5,815 (65%)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64,060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61,800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2,260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47,635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46,745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890 (9.9%)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25,365 (9.8%)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25,245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37,780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36,880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900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196,820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188,875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7,945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2018.000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87,420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85,060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2,360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2019.000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89,945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86,775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3,170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2020.000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82,600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79,165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3,435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of comorbidities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One comorbidity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31,110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29,650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1,460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Two or more comorbidities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228,855 (88%)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221,350 (88%)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7,505 (84%)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CHA2DS2-VASc score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High Risk (&gt;=2)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256,395 (99%)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247,515 (99%)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8,880 (99%)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Moderate Risk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3,570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3,485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 (0.9%)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Mean (SD); n (%)</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preserve">Design-based KruskalWallis test; Pearson's X^2: Rao &amp; Scott adjustment</w:t>
            </w:r>
          </w:p>
        </w:tc>
      </w:tr>
    </w:tbl>
    <w:bookmarkEnd w:id="21"/>
    <w:bookmarkStart w:id="22" w:name="univariable-analysis"/>
    <w:p>
      <w:pPr>
        <w:pStyle w:val="Heading2"/>
      </w:pPr>
      <w:r>
        <w:t xml:space="preserve">Univariable analysis: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259,965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No</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251,000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Yes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8,965</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In-hospital mortality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10,460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10,435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Length of stay (days)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(2, 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(2, 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(1,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Inflation-adjusted total charge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83,272 (36,402, 168,409)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81,035 (35,228, 168,695)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110,444 (84,229, 163,778)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In-hospital stroke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5,165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5,105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Cardiogenic shock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13,480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13,420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Major bleeding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10,555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10,210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345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Favorable discharge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123,125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115,130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7,995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n (%); Median (Q1, Q3)</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preserve">Pearson's X^2: Rao &amp; Scott adjustment; Design-based KruskalWallis test</w:t>
            </w:r>
          </w:p>
        </w:tc>
      </w:tr>
    </w:tbl>
    <w:bookmarkEnd w:id="22"/>
    <w:bookmarkStart w:id="28" w:name="multivariable-logistic-regression"/>
    <w:p>
      <w:pPr>
        <w:pStyle w:val="Heading2"/>
      </w:pPr>
      <w:r>
        <w:t xml:space="preserve">Multivariable logistic regression:</w:t>
      </w:r>
    </w:p>
    <w:bookmarkStart w:id="23" w:name="in-hospital-mortality"/>
    <w:p>
      <w:pPr>
        <w:pStyle w:val="Heading3"/>
      </w:pPr>
      <w:r>
        <w:t xml:space="preserve">In-hospital mortality: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LAAC procedure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0.03, 0.18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0.88, 1.87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0.80, 2.22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1.32, 6.73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3.05, 6.25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1.35, 2.55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 $51,999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$52,000 - $65,999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0.66, 0.95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$66,000 - $87,999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$88,000 or more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0.55, 0.89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1.10, 2.27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1.02, 1.38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0.84, 1.28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0.92, 1.34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0.78, 1.20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1.23, 1.31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CHA2DS2-VASc score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0.72, 0.87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3"/>
    <w:bookmarkStart w:id="24" w:name="in-hospital-stroke"/>
    <w:p>
      <w:pPr>
        <w:pStyle w:val="Heading3"/>
      </w:pPr>
      <w:r>
        <w:t xml:space="preserve">In-hospital stroke: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LAAC procedure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0.13, 0.48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0.94, 0.97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1.43, 2.43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0.62, 1.70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0.84, 1.57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0.73, 2.98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0.51, 1.41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0.73, 2.16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1.0, 3.64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 $51,999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$52,000 - $65,999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$66,000 - $87,999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0.67, 1.48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$88,000 or more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0.53, 1.42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0.62, 2.39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0.83, 1.77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1.15, 2.50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0.54, 0.95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0.54, 1.12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0.88, 1.79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CHA2DS2-VASc score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2.41, 3.15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4"/>
    <w:bookmarkStart w:id="25" w:name="cardiogenic-shock"/>
    <w:p>
      <w:pPr>
        <w:pStyle w:val="Heading3"/>
      </w:pPr>
      <w:r>
        <w:t xml:space="preserve">Cardiogenic shock:</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LAAC procedure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0.08, 0.30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0.87, 1.69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0.98, 2.59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0.82, 1.33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0.82, 2.64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1.02, 1.71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1.03, 1.81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1.22, 2.16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 $51,999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$52,000 - $65,999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$66,000 - $87,999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0.72, 1.35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$88,000 or more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0.78, 1.47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0.77, 1.71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0.67, 1.41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0.61, 1.27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0.46, 0.71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0.35, 0.53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1.41, 2.74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3.11, 5.78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1.28, 1.46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CHA2DS2-VASc score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0.64, 0.83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5"/>
    <w:bookmarkStart w:id="26" w:name="major-bleeding"/>
    <w:p>
      <w:pPr>
        <w:pStyle w:val="Heading3"/>
      </w:pPr>
      <w:r>
        <w:t xml:space="preserve">Major bleeding:</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LAAC procedure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0.81, 1.52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0.45, 0.91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0.59, 1.60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0.72, 2.23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0.37, 1.33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1.90, 7.19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0.53, 3.46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0.51, 4.68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0.46, 3.38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 $51,999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$52,000 - $65,999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0.62, 1.54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$66,000 - $87,999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0.39, 0.89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$88,000 or more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0.91, 2.49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0.68, 1.47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0.78, 1.58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0.75, 2.10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1.20, 3.97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1.39, 2.67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CHA2DS2-VASc score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0.66, 0.94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0.007</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6"/>
    <w:bookmarkStart w:id="27" w:name="favorable-discharge"/>
    <w:p>
      <w:pPr>
        <w:pStyle w:val="Heading3"/>
      </w:pPr>
      <w:r>
        <w:t xml:space="preserve">Favorable discharge: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LAAC procedure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6.43, 9.92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1.11, 1.56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0.28, 1.30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0.39, 0.98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0.42, 0.95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0.70, 1.72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0.87, 2.26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0.75, 1.97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 $51,999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$52,000 - $65,999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0.79, 1.20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$66,000 - $87,999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$88,000 or more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0.54, 0.88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0.94, 1.44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0.92, 2.36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1.21, 2.90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0.81, 0.87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CHA2DS2-VASc score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7"/>
    <w:bookmarkEnd w:id="28"/>
    <w:bookmarkStart w:id="31" w:name="multivariable-linear-regression"/>
    <w:p>
      <w:pPr>
        <w:pStyle w:val="Heading2"/>
      </w:pPr>
      <w:r>
        <w:t xml:space="preserve">Multivariable linear regression:</w:t>
      </w:r>
    </w:p>
    <w:bookmarkStart w:id="29" w:name="length-of-stay"/>
    <w:p>
      <w:pPr>
        <w:pStyle w:val="Heading3"/>
      </w:pPr>
      <w:r>
        <w:t xml:space="preserve">Length of stay: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LAAC procedure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-0.02, 0.03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-0.27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-0.43, 0.86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0.33, 1.6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-3.0, 0.38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-2.2, 0.90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 $51,999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$52,000 - $65,999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-0.36, 0.20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$66,000 - $87,999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-0.23, 0.79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$88,000 or more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-0.22, 0.51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-0.06, 0.65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-0.16, 0.57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-0.74, 0.10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-0.71, 0.16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0.46, 0.70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CHA2DS2-VASc score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 -0.30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 CI = Confidence Interval</w:t>
            </w:r>
          </w:p>
        </w:tc>
      </w:tr>
    </w:tbl>
    <w:bookmarkEnd w:id="29"/>
    <w:bookmarkStart w:id="30" w:name="inflation-adjusted-total-charge"/>
    <w:p>
      <w:pPr>
        <w:pStyle w:val="Heading3"/>
      </w:pPr>
      <w:r>
        <w:t xml:space="preserve">Inflation-adjusted total charge: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LAAC procedure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-7,096, 8,640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-874, -65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-14,604, -798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29,921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-12,708, 72,549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-22,852, -1,731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26,075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6,709, 45,440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36,876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12,367, 61,386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-17,004, 29,205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-22,081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-47,248, 3,086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17,920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-8,276, 44,115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 $51,999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$52,000 - $65,999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-5,802, 9,122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$66,000 - $87,999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4,708, 25,420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$88,000 or more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24,294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13,602, 34,987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34,015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20,783, 47,246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16,683, 33,935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60,247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43,076, 77,419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-24,638, -2,348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-26,841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-38,639, -15,043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48,825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32,690, 64,959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61,665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50,190, 73,141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10,504, 15,519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CHA2DS2-VASc score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-16,973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-21,104, -12,843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 CI = Confidence Interval</w:t>
            </w:r>
          </w:p>
        </w:tc>
      </w:tr>
    </w:tbl>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In-Hospital Outcomes Associated with Left Atrial Appendage Closure in Patients with Atrial Fibrillation and Heart Failure with Reduced Ejection Fraction</dc:title>
  <dc:creator>Ali Salman</dc:creator>
  <cp:keywords/>
  <dcterms:created xsi:type="dcterms:W3CDTF">2025-12-08T09:53:53Z</dcterms:created>
  <dcterms:modified xsi:type="dcterms:W3CDTF">2025-12-08T09:53:53Z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NIS Analysis for the RCOP Match Mentorship Program</vt:lpwstr>
  </property>
  <property fmtid="{D5CDD505-2E9C-101B-9397-08002B2CF9AE}" pid="12" name="toc-title">
    <vt:lpwstr>Table of contents</vt:lpwstr>
  </property>
</Properties>
</file>