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Payer-Based Disparities in Endovascular Interventions, Post-Acute Rehabilitation Destination, and Health Economics Across All Stroke Subtypes</w:t>
      </w:r>
    </w:p>
    <w:p>
      <w:pPr>
        <w:pStyle w:val="Subtitle"/>
      </w:pPr>
      <w:r>
        <w:t xml:space="preserve">National Inpatient Sample (NIS), 2017–2022</w:t>
      </w:r>
    </w:p>
    <w:p>
      <w:pPr>
        <w:pStyle w:val="Author"/>
      </w:pPr>
      <w:r>
        <w:t xml:space="preserve">Ali Salman</w:t>
      </w:r>
    </w:p>
    <w:bookmarkStart w:id="27" w:name="study-overview"/>
    <w:p>
      <w:pPr>
        <w:pStyle w:val="Heading1"/>
      </w:pPr>
      <w:r>
        <w:t xml:space="preserve">Study overview</w:t>
      </w:r>
    </w:p>
    <w:p>
      <w:pPr>
        <w:pStyle w:val="FirstParagraph"/>
      </w:pPr>
      <w:r>
        <w:t xml:space="preserve">This study evaluates payer-based differences in in-hospital outcomes, acute stroke intervention use, discharge destination, and resource utilization among U.S. adults hospitalized with stroke. We used the Healthcare Cost and Utilization Project National Inpatient Sample (NIS), 2017-2022, and conducted a retrospective cross-sectional analysis with design-based national inference.</w:t>
      </w:r>
    </w:p>
    <w:bookmarkStart w:id="20" w:name="data-source-and-study-population"/>
    <w:p>
      <w:pPr>
        <w:pStyle w:val="Heading2"/>
      </w:pPr>
      <w:r>
        <w:t xml:space="preserve">Data source and study population</w:t>
      </w:r>
    </w:p>
    <w:p>
      <w:pPr>
        <w:pStyle w:val="FirstParagraph"/>
      </w:pPr>
      <w:r>
        <w:t xml:space="preserve">NIS is a stratified sample of U.S. community hospital discharges. We included adult (&gt;=18 years) hospitalizations with a primary diagnosis of acute ischemic stroke (AIS), intracerebral hemorrhage (ICH), or subarachnoid hemorrhage (SAH). To reduce etiologic heterogeneity, traumatic hemorrhagic stroke presentations were excluded. Cohort construction and variable derivation were performed in a standardized preprocessing pipeline before analysis.</w:t>
      </w:r>
    </w:p>
    <w:bookmarkEnd w:id="20"/>
    <w:bookmarkStart w:id="21" w:name="exposure"/>
    <w:p>
      <w:pPr>
        <w:pStyle w:val="Heading2"/>
      </w:pPr>
      <w:r>
        <w:t xml:space="preserve">Exposure</w:t>
      </w:r>
    </w:p>
    <w:p>
      <w:pPr>
        <w:pStyle w:val="FirstParagraph"/>
      </w:pPr>
      <w:r>
        <w:t xml:space="preserve">The primary exposure was expected primary payer status, with the main inferential comparison restricted to Medicaid versus private insurance. All payer categories were retained for descriptive analyses.</w:t>
      </w:r>
    </w:p>
    <w:bookmarkEnd w:id="21"/>
    <w:bookmarkStart w:id="22" w:name="outcomes"/>
    <w:p>
      <w:pPr>
        <w:pStyle w:val="Heading2"/>
      </w:pPr>
      <w:r>
        <w:t xml:space="preserve">Outcomes</w:t>
      </w:r>
    </w:p>
    <w:p>
      <w:pPr>
        <w:pStyle w:val="FirstParagraph"/>
      </w:pPr>
      <w:r>
        <w:t xml:space="preserve">Primary outcomes were:</w:t>
      </w:r>
      <w:r>
        <w:t xml:space="preserve"> </w:t>
      </w:r>
      <w:r>
        <w:t xml:space="preserve">- In-hospital mortality</w:t>
      </w:r>
      <w:r>
        <w:t xml:space="preserve"> </w:t>
      </w:r>
      <w:r>
        <w:t xml:space="preserve">- Routine discharge to home and non-routine discharge</w:t>
      </w:r>
      <w:r>
        <w:t xml:space="preserve"> </w:t>
      </w:r>
      <w:r>
        <w:t xml:space="preserve">- Length of stay (LOS)</w:t>
      </w:r>
      <w:r>
        <w:t xml:space="preserve"> </w:t>
      </w:r>
      <w:r>
        <w:t xml:space="preserve">- Inflation-adjusted hospitalization cost (2022 U.S. dollars)</w:t>
      </w:r>
    </w:p>
    <w:p>
      <w:pPr>
        <w:pStyle w:val="BodyText"/>
      </w:pPr>
      <w:r>
        <w:t xml:space="preserve">Secondary outcomes included subtype-specific acute interventions (mechanical thrombectomy, IV thrombolysis, coiling/clipping, surgical evacuation) and post-acute destination endpoints (short-term hospital transfer as an IRF proxy, skilled nursing facility discharge, and home health care proxy).</w:t>
      </w:r>
    </w:p>
    <w:bookmarkEnd w:id="22"/>
    <w:bookmarkStart w:id="23" w:name="covariates"/>
    <w:p>
      <w:pPr>
        <w:pStyle w:val="Heading2"/>
      </w:pPr>
      <w:r>
        <w:t xml:space="preserve">Covariates</w:t>
      </w:r>
    </w:p>
    <w:p>
      <w:pPr>
        <w:pStyle w:val="FirstParagraph"/>
      </w:pPr>
      <w:r>
        <w:t xml:space="preserve">Adjusted models included demographic factors, socioeconomic markers, comorbidity burden, stroke-severity proxies, and hospital characteristics, along with admission year.</w:t>
      </w:r>
    </w:p>
    <w:bookmarkEnd w:id="23"/>
    <w:bookmarkStart w:id="24" w:name="statistical-analysis"/>
    <w:p>
      <w:pPr>
        <w:pStyle w:val="Heading2"/>
      </w:pPr>
      <w:r>
        <w:t xml:space="preserve">Statistical analysis</w:t>
      </w:r>
    </w:p>
    <w:p>
      <w:pPr>
        <w:pStyle w:val="FirstParagraph"/>
      </w:pPr>
      <w:r>
        <w:t xml:space="preserve">All analyses accounted for the NIS complex survey design (discharge weights, clustering, and stratification). We generated survey-weighted descriptive tables for baseline characteristics and outcomes. For inferential analyses, binary outcomes were modeled with survey-weighted logistic regression, and LOS/cost outcomes were modeled using survey-weighted Gamma generalized linear models with a log link, restricted to positive values. Prespecified subtype-specific models were fit for AIS, ICH, and SAH where clinically appropriate. Temporal trends were estimated using survey-weighted yearly rates, and effect modification by hospital teaching status and hospital location was assessed with interaction terms.</w:t>
      </w:r>
    </w:p>
    <w:bookmarkEnd w:id="24"/>
    <w:bookmarkStart w:id="25" w:name="sensitivity-analyses"/>
    <w:p>
      <w:pPr>
        <w:pStyle w:val="Heading2"/>
      </w:pPr>
      <w:r>
        <w:t xml:space="preserve">Sensitivity analyses</w:t>
      </w:r>
    </w:p>
    <w:p>
      <w:pPr>
        <w:pStyle w:val="FirstParagraph"/>
      </w:pPr>
      <w:r>
        <w:t xml:space="preserve">Sensitivity analyses included a working-age subgroup (18-64 years).</w:t>
      </w:r>
    </w:p>
    <w:bookmarkEnd w:id="25"/>
    <w:bookmarkStart w:id="26" w:name="interpretation-note"/>
    <w:p>
      <w:pPr>
        <w:pStyle w:val="Heading2"/>
      </w:pPr>
      <w:r>
        <w:t xml:space="preserve">Interpretation note</w:t>
      </w:r>
    </w:p>
    <w:p>
      <w:pPr>
        <w:pStyle w:val="FirstParagraph"/>
      </w:pPr>
      <w:r>
        <w:t xml:space="preserve">Because NIS discharge disposition categories do not directly encode all post-acute settings, IRF and home health care endpoints should be described as proxies in the manuscript.</w:t>
      </w:r>
    </w:p>
    <w:bookmarkEnd w:id="26"/>
    <w:bookmarkEnd w:id="27"/>
    <w:bookmarkStart w:id="33" w:name="results-descriptive-tables"/>
    <w:p>
      <w:pPr>
        <w:pStyle w:val="Heading1"/>
      </w:pPr>
      <w:r>
        <w:t xml:space="preserve">Results: descriptive tables</w:t>
      </w:r>
    </w:p>
    <w:bookmarkStart w:id="28" w:name="Xee3cca520b8edb08661e3f8abf1bfca64b3b13a"/>
    <w:p>
      <w:pPr>
        <w:pStyle w:val="Heading2"/>
      </w:pPr>
      <w:r>
        <w:t xml:space="preserve">Baseline characteristics by payer (all payers)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3,209,635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Private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620,605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Medicaid</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329,230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Medicare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2,042,845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77,195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Self-pay</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139,760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group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153,730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64,625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51,730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11,645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4,950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20,780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45-64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943,665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392,935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240,055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175,025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34,585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101,065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65-74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797,525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92,315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20,445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656,215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18,660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9,890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1,314,715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70,730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17,000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1,199,960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19,000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3,209,360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1,595,025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264,840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147,600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1,110,195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20,495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51,895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1,614,335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355,705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181,600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932,500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56,680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87,850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3,132,240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2,052,550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381,410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125,495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1,435,595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49,245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60,805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113,355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26,990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18,095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62,180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4,195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571,715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120,060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101,590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296,900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15,255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37,910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293,530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53,950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58,890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147,765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6,065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26,860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101,090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21,235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16,730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53,415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2,780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6,930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3,160,650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951,630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159,765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135,785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571,670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26,060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58,350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812,085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150,990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80,950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523,565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20,950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35,630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760,225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155,545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64,165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496,885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17,125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26,505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636,710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144,920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40,640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424,255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11,155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15,740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649,620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118,735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61,825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438,480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12,915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17,665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553,070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109,385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62,855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361,455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9,965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9,410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1,381,475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282,965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109,220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850,550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38,815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99,925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625,470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109,520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95,330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392,360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15,500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12,760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1,660,170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327,135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182,015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1,036,590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41,015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73,415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950,745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182,145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92,340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610,945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22,525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42,790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598,720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111,325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54,875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395,310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13,655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23,555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232,005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34,045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16,020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166,420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7,175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8,345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594,775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107,710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51,635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395,100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14,775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25,555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2,382,855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478,850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261,575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1,481,325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55,245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105,860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826,780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141,755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67,655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561,520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21,950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33,900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2,382,855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478,850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261,575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1,481,325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55,245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105,860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2,977,630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586,560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313,210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1,876,425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70,020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131,415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232,005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34,045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16,020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166,420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7,175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8,345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4.19 (2.02)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 (1.93)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4.42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 (2.01)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243,335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48,635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37,890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136,980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6,080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13,750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Stroke subtype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2,794,105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526,340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273,125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1,811,995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66,505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116,140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327,680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66,175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42,630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193,135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8,260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17,480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87,850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28,090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13,475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37,715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6,140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528,140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100,105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50,845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344,570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11,085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21,535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533,205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102,155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50,755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345,530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11,200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23,565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549,070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105,660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53,685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353,125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12,380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24,220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514,225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101,735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54,285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321,605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13,210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538,390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105,120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58,615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336,600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14,275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23,780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546,605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105,830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61,045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341,415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15,045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23,270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preserve">Mean (SD); n (%)</w:t>
            </w:r>
          </w:p>
        </w:tc>
      </w:tr>
      <w:tr>
        <w:trPr>
          <w:cantSplit/>
        </w:trPr>
        <w:tc>
          <w:tcPr>
            <w:gridSpan w:val="9"/>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28"/>
    <w:bookmarkStart w:id="29" w:name="Xf9eb893ad64d9abc0c103c7d685b0a66e59fba7"/>
    <w:p>
      <w:pPr>
        <w:pStyle w:val="Heading2"/>
      </w:pPr>
      <w:r>
        <w:t xml:space="preserve">Baseline characteristics (Medicaid vs Private)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949,835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Private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620,605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Medicaid</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329,230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group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116,355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64,625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51,730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45-64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632,990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392,935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240,055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65-74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112,760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92,315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20,445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87,730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70,730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17,000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412,440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264,840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147,600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537,305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355,705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181,600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924,445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506,905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381,410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125,495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45,085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26,990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18,095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221,650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120,060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101,590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112,840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53,950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58,890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37,965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21,235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16,730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932,760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295,550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159,765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135,785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231,940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150,990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80,950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219,710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155,545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64,165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185,560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144,920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40,640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180,560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118,735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61,825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172,240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109,385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62,855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392,185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282,965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109,220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204,850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109,520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95,330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509,150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327,135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182,015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274,485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182,145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92,340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166,200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111,325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54,875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50,065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34,045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16,020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159,345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107,710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51,635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740,425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478,850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261,575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209,410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141,755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67,655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740,425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478,850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261,575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899,770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586,560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313,210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50,065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34,045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16,020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 (1.93)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86,525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48,635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37,890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Stroke subtype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799,465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526,340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273,125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108,805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66,175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42,630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41,565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28,090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13,475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150,950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100,105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50,845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152,910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102,155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50,755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159,345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105,660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53,685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156,020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101,735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54,285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163,735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105,120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58,615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166,875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105,830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61,045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preserve">Mean (SD); n (%)</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29"/>
    <w:bookmarkStart w:id="30" w:name="primary-outcomes-all-payers"/>
    <w:p>
      <w:pPr>
        <w:pStyle w:val="Heading2"/>
      </w:pPr>
      <w:r>
        <w:t xml:space="preserve">Primary outcomes (all payers)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3,209,635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Private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620,605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Medicaid</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329,230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Medicare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2,042,845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77,195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Self-pay</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139,760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mortality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3,208,475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188,395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29,330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17,525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125,505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6,855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9,180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Routine discharge to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1,104,160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313,615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140,450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531,320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31,925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86,850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Non-routine discharge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1,915,920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277,530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170,945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1,385,380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38,370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43,695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3,209,475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(2.0,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cost ($,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3,189,945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12,776 (8,400, 22,241)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13,159 (8,441, 23,745)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15,648 (9,734, 29,546)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12,347 (8,258, 20,926)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12,412 (7,765, 22,275)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12,506 (8,239, 21,986)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9"/>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30"/>
    <w:bookmarkStart w:id="31" w:name="primary-outcomes-medicaid-vs-private"/>
    <w:p>
      <w:pPr>
        <w:pStyle w:val="Heading2"/>
      </w:pPr>
      <w:r>
        <w:t xml:space="preserve">Primary outcomes (Medicaid vs Private)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949,835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Private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620,605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Medicaid</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329,230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mortality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949,395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46,855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29,330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17,525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Routine discharge to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454,065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313,615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140,450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Non-routine discharge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448,475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277,530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170,945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(2.0,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cost ($,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943,315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13,982 (8,829, 25,585)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13,159 (8,441, 23,745)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15,648 (9,734, 29,546)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31"/>
    <w:bookmarkStart w:id="32" w:name="secondary-outcomes-all-payers"/>
    <w:p>
      <w:pPr>
        <w:pStyle w:val="Heading2"/>
      </w:pPr>
      <w:r>
        <w:t xml:space="preserve">Secondary outcomes (all payers)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3,209,635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Private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620,605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Medicaid</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329,230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Medicare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2,042,845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77,195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Self-pay</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139,760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thrombectomy (AIS)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88,200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19,315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9,230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53,885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3,650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 tPA (AIS)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302,145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68,840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29,630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182,720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7,585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13,370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Coiling or clipping (SAH)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19,310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7,220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4,225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5,955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Surgical evacuation (ICH)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14,275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4,310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2,385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6,425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775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Transfer to short-term hospital (IRF proxy)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90,210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21,055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10,775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51,820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2,920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3,640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Discharge to SNF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1,270,040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180,745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105,815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938,195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23,875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21,410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Home health care (proxy)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516,925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69,130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43,710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380,105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10,145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13,835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preserve">n (%)</w:t>
            </w:r>
          </w:p>
        </w:tc>
      </w:tr>
      <w:tr>
        <w:trPr>
          <w:cantSplit/>
        </w:trPr>
        <w:tc>
          <w:tcPr>
            <w:gridSpan w:val="9"/>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w:t>
            </w:r>
          </w:p>
        </w:tc>
      </w:tr>
    </w:tbl>
    <w:bookmarkEnd w:id="32"/>
    <w:bookmarkEnd w:id="33"/>
    <w:bookmarkStart w:id="39" w:name="results-regression-models"/>
    <w:p>
      <w:pPr>
        <w:pStyle w:val="Heading1"/>
      </w:pPr>
      <w:r>
        <w:t xml:space="preserve">Results: regression models</w:t>
      </w:r>
    </w:p>
    <w:bookmarkStart w:id="34" w:name="mortality-medicaid-vs-private"/>
    <w:p>
      <w:pPr>
        <w:pStyle w:val="Heading2"/>
      </w:pPr>
      <w:r>
        <w:t xml:space="preserve">Mortality (Medicaid vs Private)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39.5, 44.9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0.090</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4"/>
    <w:bookmarkStart w:id="35" w:name="routine-discharge-medicaid-vs-private"/>
    <w:p>
      <w:pPr>
        <w:pStyle w:val="Heading2"/>
      </w:pPr>
      <w:r>
        <w:t xml:space="preserve">Routine discharge (Medicaid vs Private)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5"/>
    <w:bookmarkStart w:id="36" w:name="X7181e46f594fec48579bc5079d165388838f2f7"/>
    <w:p>
      <w:pPr>
        <w:pStyle w:val="Heading2"/>
      </w:pPr>
      <w:r>
        <w:t xml:space="preserve">Non-routine discharge (Medicaid vs Private)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6"/>
    <w:bookmarkStart w:id="37" w:name="Xc2c030c26f5cfbe51abeb4601957fe6fa1ef100"/>
    <w:p>
      <w:pPr>
        <w:pStyle w:val="Heading2"/>
      </w:pPr>
      <w:r>
        <w:t xml:space="preserve">Length of stay (Gamma, log-link; Medicaid vs Private)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exp(Beta)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2.72, 2.83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7"/>
    <w:bookmarkStart w:id="38" w:name="X50476105f492726bb266f9e527d50421c8c1fa6"/>
    <w:p>
      <w:pPr>
        <w:pStyle w:val="Heading2"/>
      </w:pPr>
      <w:r>
        <w:t xml:space="preserve">Inflation-adjusted cost (Gamma, log-link; Medicaid vs Private)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exp(Beta)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3.26, 3.37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8"/>
    <w:bookmarkEnd w:id="39"/>
    <w:bookmarkStart w:id="55" w:name="X1bedaa789d85fc199a2a6db2cde94fb74c7a21e"/>
    <w:p>
      <w:pPr>
        <w:pStyle w:val="Heading1"/>
      </w:pPr>
      <w:r>
        <w:t xml:space="preserve">Results: subtype-specific primary outcomes (Medicaid vs Private)</w:t>
      </w:r>
    </w:p>
    <w:bookmarkStart w:id="40" w:name="mortality-ais"/>
    <w:p>
      <w:pPr>
        <w:pStyle w:val="Heading2"/>
      </w:pPr>
      <w:r>
        <w:t xml:space="preserve">Mortality (AIS)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32.3, 38.6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0.038</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40"/>
    <w:bookmarkStart w:id="41" w:name="mortality-ich"/>
    <w:p>
      <w:pPr>
        <w:pStyle w:val="Heading2"/>
      </w:pPr>
      <w:r>
        <w:t xml:space="preserve">Mortality (ICH)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15.8, 19.4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0.026</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41"/>
    <w:bookmarkStart w:id="42" w:name="mortality-sah"/>
    <w:p>
      <w:pPr>
        <w:pStyle w:val="Heading2"/>
      </w:pPr>
      <w:r>
        <w:t xml:space="preserve">Mortality (SAH)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16.6, 23.8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1.10, 3.94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42"/>
    <w:bookmarkStart w:id="43" w:name="routine-discharge-ais"/>
    <w:p>
      <w:pPr>
        <w:pStyle w:val="Heading2"/>
      </w:pPr>
      <w:r>
        <w:t xml:space="preserve">Routine discharge (AIS)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0.023</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43"/>
    <w:bookmarkStart w:id="44" w:name="routine-discharge-ich"/>
    <w:p>
      <w:pPr>
        <w:pStyle w:val="Heading2"/>
      </w:pPr>
      <w:r>
        <w:t xml:space="preserve">Routine discharge (ICH)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0.083</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44"/>
    <w:bookmarkStart w:id="45" w:name="routine-discharge-sah"/>
    <w:p>
      <w:pPr>
        <w:pStyle w:val="Heading2"/>
      </w:pPr>
      <w:r>
        <w:t xml:space="preserve">Routine discharge (SAH)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0.06, 0.08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45"/>
    <w:bookmarkStart w:id="46" w:name="non-routine-discharge-ais"/>
    <w:p>
      <w:pPr>
        <w:pStyle w:val="Heading2"/>
      </w:pPr>
      <w:r>
        <w:t xml:space="preserve">Non-routine discharge (AIS)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46"/>
    <w:bookmarkStart w:id="47" w:name="non-routine-discharge-ich"/>
    <w:p>
      <w:pPr>
        <w:pStyle w:val="Heading2"/>
      </w:pPr>
      <w:r>
        <w:t xml:space="preserve">Non-routine discharge (ICH)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47"/>
    <w:bookmarkStart w:id="48" w:name="non-routine-discharge-sah"/>
    <w:p>
      <w:pPr>
        <w:pStyle w:val="Heading2"/>
      </w:pPr>
      <w:r>
        <w:t xml:space="preserve">Non-routine discharge (SAH)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48"/>
    <w:bookmarkStart w:id="49" w:name="length-of-stay-ais"/>
    <w:p>
      <w:pPr>
        <w:pStyle w:val="Heading2"/>
      </w:pPr>
      <w:r>
        <w:t xml:space="preserve">Length of stay (AIS)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exp(Beta)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2.62, 2.78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49"/>
    <w:bookmarkStart w:id="50" w:name="length-of-stay-ich"/>
    <w:p>
      <w:pPr>
        <w:pStyle w:val="Heading2"/>
      </w:pPr>
      <w:r>
        <w:t xml:space="preserve">Length of stay (ICH)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exp(Beta)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50"/>
    <w:bookmarkStart w:id="51" w:name="length-of-stay-sah"/>
    <w:p>
      <w:pPr>
        <w:pStyle w:val="Heading2"/>
      </w:pPr>
      <w:r>
        <w:t xml:space="preserve">Length of stay (SAH)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exp(Beta)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gridSpan w:val="4"/>
          </w:tcPr>
          <w:p>
            <w:pPr>
              <w:spacing w:before="0" w:after="60"/>
              <w:keepNext/>
            </w:pPr>
            <w:r>
              <w:rPr>
                <w:rFonts w:ascii="Calibri" w:hAnsi="Calibri"/>
                <w:sz w:val="20"/>
              </w:rPr>
              <w:t xml:space="preserve">Abbreviation: CI = Confidence Interval</w:t>
            </w:r>
          </w:p>
        </w:tc>
      </w:tr>
    </w:tbl>
    <w:bookmarkEnd w:id="51"/>
    <w:bookmarkStart w:id="52" w:name="inflation-adjusted-cost-ais"/>
    <w:p>
      <w:pPr>
        <w:pStyle w:val="Heading2"/>
      </w:pPr>
      <w:r>
        <w:t xml:space="preserve">Inflation-adjusted cost (AIS)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exp(Beta)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3.19, 3.34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52"/>
    <w:bookmarkStart w:id="53" w:name="inflation-adjusted-cost-ich"/>
    <w:p>
      <w:pPr>
        <w:pStyle w:val="Heading2"/>
      </w:pPr>
      <w:r>
        <w:t xml:space="preserve">Inflation-adjusted cost (ICH)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exp(Beta)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53"/>
    <w:bookmarkStart w:id="54" w:name="inflation-adjusted-cost-sah"/>
    <w:p>
      <w:pPr>
        <w:pStyle w:val="Heading2"/>
      </w:pPr>
      <w:r>
        <w:t xml:space="preserve">Inflation-adjusted cost (SAH)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exp(Beta)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4"/>
          </w:tcPr>
          <w:p>
            <w:pPr>
              <w:spacing w:before="0" w:after="60"/>
              <w:keepNext/>
            </w:pPr>
            <w:r>
              <w:rPr>
                <w:rFonts w:ascii="Calibri" w:hAnsi="Calibri"/>
                <w:sz w:val="20"/>
              </w:rPr>
              <w:t xml:space="preserve">Abbreviation: CI = Confidence Interval</w:t>
            </w:r>
          </w:p>
        </w:tc>
      </w:tr>
    </w:tbl>
    <w:bookmarkEnd w:id="54"/>
    <w:bookmarkEnd w:id="55"/>
    <w:bookmarkStart w:id="60" w:name="X44967243c977d6698dab8d9eb9b7dc339b6002a"/>
    <w:p>
      <w:pPr>
        <w:pStyle w:val="Heading1"/>
      </w:pPr>
      <w:r>
        <w:t xml:space="preserve">Results: subtype-specific procedural access</w:t>
      </w:r>
    </w:p>
    <w:bookmarkStart w:id="56" w:name="mechanical-thrombectomy-ais"/>
    <w:p>
      <w:pPr>
        <w:pStyle w:val="Heading2"/>
      </w:pPr>
      <w:r>
        <w:t xml:space="preserve">Mechanical thrombectomy (AIS)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5.77, 6.79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2.46, 3.38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56"/>
    <w:bookmarkStart w:id="57" w:name="iv-thrombolysis-ais"/>
    <w:p>
      <w:pPr>
        <w:pStyle w:val="Heading2"/>
      </w:pPr>
      <w:r>
        <w:t xml:space="preserve">IV thrombolysis (AIS)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1.48, 1.69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57"/>
    <w:bookmarkStart w:id="58" w:name="coiling-or-clipping-sah"/>
    <w:p>
      <w:pPr>
        <w:pStyle w:val="Heading2"/>
      </w:pPr>
      <w:r>
        <w:t xml:space="preserve">Coiling or clipping (SAH)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58"/>
    <w:bookmarkStart w:id="59" w:name="surgical-evacuation-ich"/>
    <w:p>
      <w:pPr>
        <w:pStyle w:val="Heading2"/>
      </w:pPr>
      <w:r>
        <w:t xml:space="preserve">Surgical evacuation (ICH)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3.38, 4.44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59"/>
    <w:bookmarkEnd w:id="60"/>
    <w:bookmarkStart w:id="64" w:name="Xeb4ae0a5f2cda9f3134a1557e56e6a6a9d1a9d0"/>
    <w:p>
      <w:pPr>
        <w:pStyle w:val="Heading1"/>
      </w:pPr>
      <w:r>
        <w:t xml:space="preserve">Results: discharge destination models (Medicaid vs Private)</w:t>
      </w:r>
    </w:p>
    <w:bookmarkStart w:id="61" w:name="irf-proxy-discharge"/>
    <w:p>
      <w:pPr>
        <w:pStyle w:val="Heading2"/>
      </w:pPr>
      <w:r>
        <w:t xml:space="preserve">IRF proxy discharge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2.33, 2.71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61"/>
    <w:bookmarkStart w:id="62" w:name="snf-discharge"/>
    <w:p>
      <w:pPr>
        <w:pStyle w:val="Heading2"/>
      </w:pPr>
      <w:r>
        <w:t xml:space="preserve">SNF discharge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62"/>
    <w:bookmarkStart w:id="63" w:name="home-health-care-proxy"/>
    <w:p>
      <w:pPr>
        <w:pStyle w:val="Heading2"/>
      </w:pPr>
      <w:r>
        <w:t xml:space="preserve">Home health care proxy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63"/>
    <w:bookmarkEnd w:id="64"/>
    <w:bookmarkStart w:id="73" w:name="results-temporal-trends-2017-2022"/>
    <w:p>
      <w:pPr>
        <w:pStyle w:val="Heading1"/>
      </w:pPr>
      <w:r>
        <w:t xml:space="preserve">Results: temporal trends (2017-2022)</w:t>
      </w:r>
    </w:p>
    <w:bookmarkStart w:id="68" w:name="mechanical-thrombectomy-trends-ais"/>
    <w:p>
      <w:pPr>
        <w:pStyle w:val="Heading2"/>
      </w:pPr>
      <w:r>
        <w:t xml:space="preserve">Mechanical thrombectomy trends (AIS)</w:t>
      </w:r>
    </w:p>
    <w:p>
      <w:pPr>
        <w:pStyle w:val="FirstParagraph"/>
      </w:pPr>
      <w:r>
        <w:drawing>
          <wp:inline>
            <wp:extent cx="5334000" cy="3573780"/>
            <wp:effectExtent b="0" l="0" r="0" t="0"/>
            <wp:docPr descr="" title="" id="66" name="Picture"/>
            <a:graphic>
              <a:graphicData uri="http://schemas.openxmlformats.org/drawingml/2006/picture">
                <pic:pic>
                  <pic:nvPicPr>
                    <pic:cNvPr descr="index_files/figure-docx/trend_mt_ais-1.png" id="67" name="Picture"/>
                    <pic:cNvPicPr>
                      <a:picLocks noChangeArrowheads="1" noChangeAspect="1"/>
                    </pic:cNvPicPr>
                  </pic:nvPicPr>
                  <pic:blipFill>
                    <a:blip r:embed="rId65"/>
                    <a:stretch>
                      <a:fillRect/>
                    </a:stretch>
                  </pic:blipFill>
                  <pic:spPr bwMode="auto">
                    <a:xfrm>
                      <a:off x="0" y="0"/>
                      <a:ext cx="5334000" cy="3573780"/>
                    </a:xfrm>
                    <a:prstGeom prst="rect">
                      <a:avLst/>
                    </a:prstGeom>
                    <a:noFill/>
                    <a:ln w="9525">
                      <a:noFill/>
                      <a:headEnd/>
                      <a:tailEnd/>
                    </a:ln>
                  </pic:spPr>
                </pic:pic>
              </a:graphicData>
            </a:graphic>
          </wp:inline>
        </w:drawing>
      </w:r>
    </w:p>
    <w:bookmarkEnd w:id="68"/>
    <w:bookmarkStart w:id="72" w:name="Xb5647e27ba0bdb835bc5db93c2853f1a140806e"/>
    <w:p>
      <w:pPr>
        <w:pStyle w:val="Heading2"/>
      </w:pPr>
      <w:r>
        <w:t xml:space="preserve">IRF proxy discharge trends (all stroke subtypes)</w:t>
      </w:r>
    </w:p>
    <w:p>
      <w:pPr>
        <w:pStyle w:val="FirstParagraph"/>
      </w:pPr>
      <w:r>
        <w:drawing>
          <wp:inline>
            <wp:extent cx="5334000" cy="3573780"/>
            <wp:effectExtent b="0" l="0" r="0" t="0"/>
            <wp:docPr descr="" title="" id="70" name="Picture"/>
            <a:graphic>
              <a:graphicData uri="http://schemas.openxmlformats.org/drawingml/2006/picture">
                <pic:pic>
                  <pic:nvPicPr>
                    <pic:cNvPr descr="index_files/figure-docx/trend_irf-1.png" id="71" name="Picture"/>
                    <pic:cNvPicPr>
                      <a:picLocks noChangeArrowheads="1" noChangeAspect="1"/>
                    </pic:cNvPicPr>
                  </pic:nvPicPr>
                  <pic:blipFill>
                    <a:blip r:embed="rId69"/>
                    <a:stretch>
                      <a:fillRect/>
                    </a:stretch>
                  </pic:blipFill>
                  <pic:spPr bwMode="auto">
                    <a:xfrm>
                      <a:off x="0" y="0"/>
                      <a:ext cx="5334000" cy="3573780"/>
                    </a:xfrm>
                    <a:prstGeom prst="rect">
                      <a:avLst/>
                    </a:prstGeom>
                    <a:noFill/>
                    <a:ln w="9525">
                      <a:noFill/>
                      <a:headEnd/>
                      <a:tailEnd/>
                    </a:ln>
                  </pic:spPr>
                </pic:pic>
              </a:graphicData>
            </a:graphic>
          </wp:inline>
        </w:drawing>
      </w:r>
    </w:p>
    <w:bookmarkEnd w:id="72"/>
    <w:bookmarkEnd w:id="73"/>
    <w:bookmarkStart w:id="75" w:name="results-full-payer-sensitivity"/>
    <w:p>
      <w:pPr>
        <w:pStyle w:val="Heading1"/>
      </w:pPr>
      <w:r>
        <w:t xml:space="preserve">Results: full-payer sensitivity</w:t>
      </w:r>
    </w:p>
    <w:bookmarkStart w:id="74" w:name="mortality-all-payers"/>
    <w:p>
      <w:pPr>
        <w:pStyle w:val="Heading2"/>
      </w:pPr>
      <w:r>
        <w:t xml:space="preserve">Mortality (all payers)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1.81, 2.26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33.1, 35.2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74"/>
    <w:bookmarkEnd w:id="75"/>
    <w:bookmarkStart w:id="79" w:name="Xd350223eca1a486afc57f222c02130f4423cf77"/>
    <w:p>
      <w:pPr>
        <w:pStyle w:val="Heading1"/>
      </w:pPr>
      <w:r>
        <w:t xml:space="preserve">Results: interaction tests (payer x hospital factors)</w:t>
      </w:r>
    </w:p>
    <w:bookmarkStart w:id="76" w:name="teaching-status-interaction-mortality"/>
    <w:p>
      <w:pPr>
        <w:pStyle w:val="Heading2"/>
      </w:pPr>
      <w:r>
        <w:t xml:space="preserve">Teaching status interaction (mortality)</w:t>
      </w:r>
    </w:p>
    <w:p>
      <w:pPr>
        <w:pStyle w:val="FirstParagraph"/>
      </w:pPr>
      <w:r>
        <w:t xml:space="preserve">Wald test for PAY1_mp:HOSP_TEACH</w:t>
      </w:r>
      <w:r>
        <w:t xml:space="preserve"> </w:t>
      </w:r>
      <w:r>
        <w:t xml:space="preserve">in svyglm(formula = update(covars_mp, DIED ~ . + PAY1_mp:HOSP_TEACH),</w:t>
      </w:r>
      <w:r>
        <w:t xml:space="preserve"> </w:t>
      </w:r>
      <w:r>
        <w:t xml:space="preserve">design = dsgn_mp, family = quasibinomial())</w:t>
      </w:r>
      <w:r>
        <w:t xml:space="preserve"> </w:t>
      </w:r>
      <w:r>
        <w:t xml:space="preserve">F = 0.1416377 on 1 and 13503 df: p= 0.70666</w:t>
      </w:r>
    </w:p>
    <w:bookmarkEnd w:id="76"/>
    <w:bookmarkStart w:id="77" w:name="hospital-location-interaction-mortality"/>
    <w:p>
      <w:pPr>
        <w:pStyle w:val="Heading2"/>
      </w:pPr>
      <w:r>
        <w:t xml:space="preserve">Hospital location interaction (mortality)</w:t>
      </w:r>
    </w:p>
    <w:p>
      <w:pPr>
        <w:pStyle w:val="FirstParagraph"/>
      </w:pPr>
      <w:r>
        <w:t xml:space="preserve">Wald test for PAY1_mp:Hospital_Location</w:t>
      </w:r>
      <w:r>
        <w:t xml:space="preserve"> </w:t>
      </w:r>
      <w:r>
        <w:t xml:space="preserve">in svyglm(formula = update(covars_mp, DIED ~ . + PAY1_mp:Hospital_Location),</w:t>
      </w:r>
      <w:r>
        <w:t xml:space="preserve"> </w:t>
      </w:r>
      <w:r>
        <w:t xml:space="preserve">design = dsgn_mp, family = quasibinomial())</w:t>
      </w:r>
      <w:r>
        <w:t xml:space="preserve"> </w:t>
      </w:r>
      <w:r>
        <w:t xml:space="preserve">F = 1.542787 on 1 and 13503 df: p= 0.21422</w:t>
      </w:r>
    </w:p>
    <w:bookmarkEnd w:id="77"/>
    <w:bookmarkStart w:id="78" w:name="payer-x-year-interaction-mortality"/>
    <w:p>
      <w:pPr>
        <w:pStyle w:val="Heading2"/>
      </w:pPr>
      <w:r>
        <w:t xml:space="preserve">Payer x year interaction (mortality)</w:t>
      </w:r>
    </w:p>
    <w:p>
      <w:pPr>
        <w:pStyle w:val="FirstParagraph"/>
      </w:pPr>
      <w:r>
        <w:t xml:space="preserve">Wald test for PAY1_mp:YEAR</w:t>
      </w:r>
      <w:r>
        <w:t xml:space="preserve"> </w:t>
      </w:r>
      <w:r>
        <w:t xml:space="preserve">in svyglm(formula = update(covars_mp, DIED ~ . + PAY1_mp:YEAR),</w:t>
      </w:r>
      <w:r>
        <w:t xml:space="preserve"> </w:t>
      </w:r>
      <w:r>
        <w:t xml:space="preserve">design = dsgn_mp, family = quasibinomial())</w:t>
      </w:r>
      <w:r>
        <w:t xml:space="preserve"> </w:t>
      </w:r>
      <w:r>
        <w:t xml:space="preserve">F = 8.183449 on 1 and 13503 df: p= 0.0042339</w:t>
      </w:r>
    </w:p>
    <w:bookmarkEnd w:id="78"/>
    <w:bookmarkEnd w:id="79"/>
    <w:bookmarkStart w:id="84" w:name="results-sensitivity-analyses"/>
    <w:p>
      <w:pPr>
        <w:pStyle w:val="Heading1"/>
      </w:pPr>
      <w:r>
        <w:t xml:space="preserve">Results: sensitivity analyses</w:t>
      </w:r>
    </w:p>
    <w:bookmarkStart w:id="80" w:name="working-age-cohort-18-64"/>
    <w:p>
      <w:pPr>
        <w:pStyle w:val="Heading2"/>
      </w:pPr>
      <w:r>
        <w:t xml:space="preserve">Working-age cohort (18-64)</w:t>
      </w:r>
    </w:p>
    <w:bookmarkEnd w:id="80"/>
    <w:bookmarkStart w:id="81" w:name="X139ea5f47dbb728d5c6a4cee04e1fbf4fffb06c"/>
    <w:p>
      <w:pPr>
        <w:pStyle w:val="Heading2"/>
      </w:pPr>
      <w:r>
        <w:t xml:space="preserve">Working-age mortality (Medicaid vs Private)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52.3, 61.3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81"/>
    <w:bookmarkStart w:id="82" w:name="X233e1acd80dbadff06bf19c67d64d27a830c905"/>
    <w:p>
      <w:pPr>
        <w:pStyle w:val="Heading2"/>
      </w:pPr>
      <w:r>
        <w:t xml:space="preserve">Working-age LOS (Gamma, log-link; Medicaid vs Private)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exp(Beta)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2.82, 2.95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82"/>
    <w:bookmarkStart w:id="83" w:name="X95a15c8b10f86d4046b3551792c756f17be150c"/>
    <w:p>
      <w:pPr>
        <w:pStyle w:val="Heading2"/>
      </w:pPr>
      <w:r>
        <w:t xml:space="preserve">Working-age cost (Gamma, log-link; Medicaid vs Private)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exp(Beta)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3.36, 3.48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83"/>
    <w:bookmarkEnd w:id="84"/>
    <w:bookmarkStart w:id="85" w:name="notes-on-discharge-destination-coding"/>
    <w:p>
      <w:pPr>
        <w:pStyle w:val="Heading1"/>
      </w:pPr>
      <w:r>
        <w:t xml:space="preserve">Notes on discharge destination coding</w:t>
      </w:r>
    </w:p>
    <w:p>
      <w:pPr>
        <w:pStyle w:val="FirstParagraph"/>
      </w:pPr>
      <w:r>
        <w:t xml:space="preserve">The NIS discharge destination variable uses standardized categories. In this dataset,</w:t>
      </w:r>
      <w:r>
        <w:t xml:space="preserve"> </w:t>
      </w:r>
      <w:r>
        <w:rPr>
          <w:b/>
          <w:bCs/>
        </w:rPr>
        <w:t xml:space="preserve">IRF is proxied by transfers to short-term hospitals</w:t>
      </w:r>
      <w:r>
        <w:t xml:space="preserve"> </w:t>
      </w:r>
      <w:r>
        <w:t xml:space="preserve">due to the absence of a dedicated IRF indicator. The home health care field is used as a proxy and should be interpreted cautiously.</w:t>
      </w:r>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Payer-Based Disparities in Endovascular Interventions, Post-Acute Rehabilitation Destination, and Health Economics Across All Stroke Subtypes</dc:title>
  <dc:creator>Ali Salman</dc:creator>
  <cp:keywords/>
  <dcterms:created xsi:type="dcterms:W3CDTF">2026-02-25T19:29:38Z</dcterms:created>
  <dcterms:modified xsi:type="dcterms:W3CDTF">2026-02-25T19:29:38Z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subtitle">
    <vt:lpwstr>National Inpatient Sample (NIS), 2017–2022</vt:lpwstr>
  </property>
  <property fmtid="{D5CDD505-2E9C-101B-9397-08002B2CF9AE}" pid="13" name="toc-title">
    <vt:lpwstr>Table of contents</vt:lpwstr>
  </property>
</Properties>
</file>