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Toxicity of Universal SGLT2i in HF</w:t>
      </w:r>
    </w:p>
    <w:p>
      <w:pPr>
        <w:pStyle w:val="Author"/>
      </w:pPr>
      <w:r>
        <w:t xml:space="preserve">Ali Salman</w:t>
      </w:r>
    </w:p>
    <w:p>
      <w:pPr>
        <w:pStyle w:val="FirstParagraph"/>
      </w:pPr>
      <w:r>
        <w:t xml:space="preserve">— CONSORT FLOW DIAGRAM DATA (Person-Years) —</w:t>
      </w:r>
    </w:p>
    <w:p>
      <w:pPr>
        <w:pStyle w:val="BodyText"/>
      </w:pPr>
      <w:r>
        <w:t xml:space="preserve">STEP 1: Total MEPS Population (2021-2023) | N = 69,686</w:t>
      </w:r>
    </w:p>
    <w:p>
      <w:pPr>
        <w:pStyle w:val="BodyText"/>
      </w:pPr>
      <w:r>
        <w:t xml:space="preserve">Exclusion 1: No HF Diagnosis | n = 69,141</w:t>
      </w:r>
    </w:p>
    <w:p>
      <w:pPr>
        <w:pStyle w:val="BodyText"/>
      </w:pPr>
      <w:r>
        <w:t xml:space="preserve">STEP 2: Heart Failure Diagnosis (CCSR: CIR019) | N = 545 (0.8%)</w:t>
      </w:r>
    </w:p>
    <w:p>
      <w:pPr>
        <w:pStyle w:val="BodyText"/>
      </w:pPr>
      <w:r>
        <w:t xml:space="preserve">Exclusion 2: Pediatric &lt; 18 | n = 0 (0.0%)</w:t>
      </w:r>
    </w:p>
    <w:p>
      <w:pPr>
        <w:pStyle w:val="BodyText"/>
      </w:pPr>
      <w:r>
        <w:t xml:space="preserve">STEP 3: Adult Population (Age &gt;= 18) | N = 545 (100.0%)</w:t>
      </w:r>
    </w:p>
    <w:p>
      <w:pPr>
        <w:pStyle w:val="BodyText"/>
      </w:pPr>
      <w:r>
        <w:t xml:space="preserve">Exclusion 3: No GDMT Exclusion (Universal Sample Retained) | n = 0</w:t>
      </w:r>
    </w:p>
    <w:p>
      <w:pPr>
        <w:pStyle w:val="BodyText"/>
      </w:pPr>
      <w:r>
        <w:t xml:space="preserve">STEP 4: Broad HF Cohort | N = 545 (100.0%)</w:t>
      </w:r>
    </w:p>
    <w:p>
      <w:pPr>
        <w:pStyle w:val="BodyText"/>
      </w:pPr>
      <w:r>
        <w:t xml:space="preserve">Exclusion 4: Uninsured/Other | n = 12 (2.2%)</w:t>
      </w:r>
    </w:p>
    <w:p>
      <w:pPr>
        <w:pStyle w:val="BodyText"/>
      </w:pPr>
      <w:r>
        <w:t xml:space="preserve">STEP 5: Final Analytic Cohort (Valid Insurance) | N = 533 (97.8%)</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p>
            <w:pPr>
              <w:pStyle w:val="Compact"/>
            </w:pPr>
            <w:r>
              <w:t xml:space="preserve">Table 1. Demographic and Clinical Characteristics of Medicare Beneficiaries With Heart Failure, 2021-2023.</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N = 1,833,138 (100%)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Medicaid or Dual Eligible</w:t>
            </w:r>
            <w:r xmlns:w="http://schemas.openxmlformats.org/wordprocessingml/2006/main">
              <w:rPr>
                <w:rFonts w:ascii="Calibri" w:hAnsi="Calibri"/>
                <w:sz w:val="20"/>
              </w:rPr>
              <w:t xml:space="preserve"> </w:t>
            </w:r>
            <w:r>
              <w:rPr>
                <w:rFonts w:ascii="Calibri" w:hAnsi="Calibri"/>
                <w:sz w:val="20"/>
              </w:rPr>
              <w:t xml:space="preserve">N = 582,020 (32%)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Medicare</w:t>
            </w:r>
            <w:r xmlns:w="http://schemas.openxmlformats.org/wordprocessingml/2006/main">
              <w:rPr>
                <w:rFonts w:ascii="Calibri" w:hAnsi="Calibri"/>
                <w:sz w:val="20"/>
              </w:rPr>
              <w:t xml:space="preserve"> </w:t>
            </w:r>
            <w:r>
              <w:rPr>
                <w:rFonts w:ascii="Calibri" w:hAnsi="Calibri"/>
                <w:sz w:val="20"/>
              </w:rPr>
              <w:t xml:space="preserve">N = 1,083,339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Private/Commercial</w:t>
            </w:r>
            <w:r xmlns:w="http://schemas.openxmlformats.org/wordprocessingml/2006/main">
              <w:rPr>
                <w:rFonts w:ascii="Calibri" w:hAnsi="Calibri"/>
                <w:sz w:val="20"/>
              </w:rPr>
              <w:t xml:space="preserve"> </w:t>
            </w:r>
            <w:r>
              <w:rPr>
                <w:rFonts w:ascii="Calibri" w:hAnsi="Calibri"/>
                <w:sz w:val="20"/>
              </w:rPr>
              <w:t xml:space="preserve">N = 167,779 (9.2%)</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SGLT2 Inhibitor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242,314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72,502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32,709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610,131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367,772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74,580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167,779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421,899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117,246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304,653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801,109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97,003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704,106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840,041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222,755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506,953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110,333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993,097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359,266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576,386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57,446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1,336,511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353,994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892,945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89,572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310,743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132,585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120,688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57,469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90,137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49,229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40,909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95,747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46,213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28,797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20,738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Annual Household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780,289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358,899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25,239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541,851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120,024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351,918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69,908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510,999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372,522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72,632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Employment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1,326,914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493,390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810,986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22,538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351,772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74,051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132,479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145,241 (87%)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i/>
                <w:rFonts w:ascii="Calibri" w:hAnsi="Calibri"/>
                <w:sz w:val="20"/>
              </w:rPr>
              <w:t xml:space="preserve">Notes:</w:t>
            </w:r>
            <w:r>
              <w:rPr>
                <w:rFonts w:ascii="Calibri" w:hAnsi="Calibri"/>
                <w:sz w:val="20"/>
              </w:rPr>
              <w:t xml:space="preserve"> Data derived from the Medical Expenditure Panel Survey (MEPS), pooled 2021–2023. Values represent weighted national estimates. SGLT2 indicates sodium-glucose cotransporter 2. Income categories are based on the Federal Poverty Level (FPL).</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2. Mean Annual Out-of-Pocket Health Care Expenditures by Service Category and Demographic Subgroup.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Total Out-of-Pocket Expenditures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Prescription Drugs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Health Insurance Premiums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Outpatient and Office-Based Care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Inpatient Hospital Care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Other Medical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$3256 (2558-4143)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 (396-789)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$888 (610-1292)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 (287-730)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(110-380)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$1147 (682-1929)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$886 (521-1507)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(70-148)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(88-1172)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(48-337)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(28-264)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(115-544)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$4108 (3146-5365)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$834 (574-1211)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$826 (526-1296)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(295-955)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 (75-399)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$1744 (994-3060)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$5971 (3408-10461)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 (239-582)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$3248 (1713-6159)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$1129 (518-2462)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(244-2751)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$401 (201-798)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$2307 (1410-3774)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(151-291)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 (574-2154)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 (197-882)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 (123-769)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(131-520)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$3431 (2267-5194)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$765 (479-1221)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$980 (443-2169)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(145-1265)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(49-229)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$1152 (649-2045)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$3886 (2674-5645)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$717 (411-1251)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$668 (421-1060)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$504 (251-1012)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(61-519)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$1818 (888-3724)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$3097 (2262-4240)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$657 (368-1172)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$948 (622-1445)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(180-614)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(100-207)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(495-2085)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$3390 (2306-4983)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 (335-677)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$836 (443-1577)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$564 (304-1044)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(104-631)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(593-2666)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$1814 (1331-2473)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(277-662)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 (242-972)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(144-639)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(69-259)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$464 (306-704)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$3684 (2236-6069)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 (339-1086)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$798 (495-1285)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(207-821)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(67-387)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$1706 (637-4569)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$5003 (3441-7274)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$708 (435-1152)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$1598 (868-2940)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$742 (352-1565)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 (114-1135)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$1595 (751-3390)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$3396 (2556-4510)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(399-621)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$787 (528-1175)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 (298-828)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(108-389)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$1409 (791-2509)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$3148 (1507-6573)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$848 (270-2663)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$1370 (522-3596)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 (72-779)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(36-1739)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 (124-1569)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$3145 (755-13100)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(121-4950)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$782 (115-5329)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$926 (93-9199)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(20-619)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 (86-3540)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$1757 (1080-2858)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(129-581)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(376-1787)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(33-1083)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(29-658)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(96-1168)</w:t>
            </w:r>
          </w:p>
        </w:tc>
      </w:tr>
      <w:tr>
        <w:trPr>
          <w:cantSplit/>
        </w:trPr>
        <w:tc>
          <w:tcPr>
            <w:gridSpan w:val="7"/>
          </w:tcPr>
          <w:p>
            <w:pPr>
              <w:spacing w:before="0" w:after="60"/>
              <w:keepNext/>
            </w:pPr>
            <w:r>
              <w:rPr>
                <w:i/>
                <w:rFonts w:ascii="Calibri" w:hAnsi="Calibri"/>
                <w:sz w:val="20"/>
              </w:rPr>
              <w:t xml:space="preserve">Notes:</w:t>
            </w:r>
            <w:r>
              <w:rPr>
                <w:rFonts w:ascii="Calibri" w:hAnsi="Calibri"/>
                <w:sz w:val="20"/>
              </w:rPr>
              <w:t xml:space="preserve"> Values represent mean annual out-of-pocket (OOP) expenditures. All costs are adjusted to 2023 US dollars. Confidence intervals (95%) were calculated using bootstrap-estimated standard errors (2000 replicates) and log-transformation to account for the right-skewed distribution of health care costs.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3. Projected Incidence of Financial Toxicity Among Medicare Beneficiaries Under Universal SGLT2 Inhibitor Adherence and Inflation Reduction Act Scenarios.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Baseline Utilization,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SGLT2 Inhibitor Adherence,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Inflation Reduction Act Implementation,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Risk Reduction,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Risk Reduction,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(17.3-41.1)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(21.4-44.7)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 (20.8-44.4)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(22.9-43.2)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 (26.2-47.0)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(24.1-44.9)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(17.4-36.6)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 (22.5-45.0)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(19.8-42.7)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(24.4-46.6)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(27.3-48.8)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 (26.7-48.2)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 (45.7-80.2)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76.7 (55.2-89.8)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76.2 (55.0-89.4)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(12.1-40.5)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(14.6-41.6)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(12.5-36.7)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(19.0-36.6)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32.6 (23.9-42.5)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 (23.4-41.9)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 (29.7-69.9)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(30.4-70.5)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 (18.1-67.5)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Financial toxicity is defined as annual out-of-pocket health care expenditures (including premiums) exceeding 20% of post-subsistence income (income remaining after food, clothing, transportation, shelter, and other necessities). 'Universal SGLT2 Inhibitor Adherence' assumes 100% adherence to guideline-directed therapy. 'Inflation Reduction Act Implementation' applies a $2,000 annual pharmacy cap to the Medicare Part D portion. CIs calculated using Logit-transformed intervals based on bootstrap standard errors (2000 replicates).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4. Policy Efficiency Metrics: Number Needed to Treat/Harm and Projected Cases of Financial Toxicity Prevented.</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Economic Number Needed to Harm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Economic Number Needed to Treat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Projected Cases Prevented, No.</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15,999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gridSpan w:val="4"/>
          </w:tcPr>
          <w:p>
            <w:pPr>
              <w:spacing w:before="0" w:after="60"/>
              <w:keepNext/>
            </w:pPr>
            <w:r>
              <w:rPr>
                <w:i/>
                <w:rFonts w:ascii="Calibri" w:hAnsi="Calibri"/>
                <w:sz w:val="20"/>
              </w:rPr>
              <w:t xml:space="preserve">Notes:</w:t>
            </w:r>
            <w:r>
              <w:rPr>
                <w:rFonts w:ascii="Calibri" w:hAnsi="Calibri"/>
                <w:sz w:val="20"/>
              </w:rPr>
              <w:t xml:space="preserve"> Economic Number Needed to Harm indicates the number of patients prescribed Universal SGLT2 inhibitors to cause one new case of financial toxicity. Economic Number Needed to Treat indicates the number of patients benefiting from the IRA cap to prevent one case of financial toxicity. 'Negl.' = Negligible risk difference (&lt;0.5%).</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1. Prevalence of Financial Toxicity and Composition of Out-of-Pocket Costs by Policy Scenario Among Medicare Beneficiaries.</w:t>
            </w:r>
          </w:p>
        </w:tc>
      </w:tr>
    </w:tbl>
    <w:p>
      <w:pPr>
        <w:pStyle w:val="BodyText"/>
      </w:pPr>
      <w:r>
        <w:drawing>
          <wp:inline>
            <wp:extent cx="4620126" cy="3696101"/>
            <wp:effectExtent b="0" l="0" r="0" t="0"/>
            <wp:docPr descr="" title="" id="21" name="Picture"/>
            <a:graphic>
              <a:graphicData uri="http://schemas.openxmlformats.org/drawingml/2006/picture">
                <pic:pic>
                  <pic:nvPicPr>
                    <pic:cNvPr descr="main_files/figure-docx/unnamed-chunk-1-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2. Changes in Financial Toxicity Prevalence Under the Inflation Reduction Act by Demographic Subgroup.</w:t>
            </w:r>
          </w:p>
        </w:tc>
      </w:tr>
    </w:tbl>
    <w:p>
      <w:pPr>
        <w:pStyle w:val="BodyText"/>
      </w:pPr>
      <w:r>
        <w:drawing>
          <wp:inline>
            <wp:extent cx="4620126" cy="3696101"/>
            <wp:effectExtent b="0" l="0" r="0" t="0"/>
            <wp:docPr descr="" title="" id="24" name="Picture"/>
            <a:graphic>
              <a:graphicData uri="http://schemas.openxmlformats.org/drawingml/2006/picture">
                <pic:pic>
                  <pic:nvPicPr>
                    <pic:cNvPr descr="main_files/figure-docx/unnamed-chunk-1-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3. Distribution of Insurance Coverage Types Across Racial and Economic Subgroups.</w:t>
            </w:r>
          </w:p>
        </w:tc>
      </w:tr>
    </w:tbl>
    <w:p>
      <w:pPr>
        <w:pStyle w:val="BodyText"/>
      </w:pPr>
      <w:r>
        <w:drawing>
          <wp:inline>
            <wp:extent cx="4620126" cy="3696101"/>
            <wp:effectExtent b="0" l="0" r="0" t="0"/>
            <wp:docPr descr="" title="" id="27" name="Picture"/>
            <a:graphic>
              <a:graphicData uri="http://schemas.openxmlformats.org/drawingml/2006/picture">
                <pic:pic>
                  <pic:nvPicPr>
                    <pic:cNvPr descr="main_files/figure-docx/unnamed-chunk-1-3.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1. Median Annual Out-of-Pocket Costs for SGLT2 Inhibitors by Insurance Type.</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Insurance Plan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Annual SGLT2i Cost (IQR)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($46-$1337)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 ($91-$91)</w:t>
            </w:r>
          </w:p>
        </w:tc>
      </w:tr>
      <w:tr>
        <w:trPr>
          <w:cantSplit/>
        </w:trPr>
        <w:tc>
          <w:tcPr>
            <w:gridSpan w:val="2"/>
          </w:tcPr>
          <w:p>
            <w:pPr>
              <w:spacing w:before="0" w:after="60"/>
              <w:keepNext/>
            </w:pPr>
            <w:r>
              <w:rPr>
                <w:rFonts w:ascii="Calibri" w:hAnsi="Calibri"/>
                <w:sz w:val="20"/>
              </w:rPr>
              <w:t xml:space="default">Notes: Values are Median (Interquartile Range [Q1-Q3]). Costs are adjusted to 2023 dollars. Calculated using weighted survey quantiles.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2. Projected Annual Out-of-Pocket Savings for Medicare Beneficiaries Stratified by Demographic Subgroups with 95% Bootstrap CIs.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Pre-IRA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Net Savings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 Benefiting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Savings (Beneficiaries)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$4615 (3640-5852)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$4330 (3377-5552)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(118-687)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(7.9-20.8)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$2179 (1209-3928)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$1721 (1109-2670)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$1716 (1106-2663)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$4950 (3488-7026)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$4629 (3288-6516)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(109-953)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(8.5-26.2)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$2090 (824-5302)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$4777 (3394-6723)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$4478 (3141-6385)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 (88-1016)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(6.5-24.3)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$2297 (987-5344)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$4148 (2916-5899)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$3752 (2644-5324)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 (111-1413)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(5.2-29.7)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$2999 (1294-6951)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$5026 (3462-7297)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$4839 (3303-7090)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(72-487)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$1445 (665-3139)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$3213 (2287-4514)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$2921 (2175-3924)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 (98-864)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(6.5-21.7)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$2391 (1035-5523)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$5203 (3117-8685)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$4924 (2868-8456)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 (58-1331)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 (6.5-27.3)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$1998 (550-7257)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$5411 (3758-7791)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$5127 (3526-7455)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 (83-980)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(4.8-31.2)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$2170 (864-5449)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$4582 (3445-6093)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$4456 (3335-5952)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(55-289)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(6.8-17.7)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$1135 (611-2106)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$4498 (2343-8635)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$3173 (1466-6865)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 (339-5187)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(6.9-72.6)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$4328 (1821-10288)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$6999 (1983-24705)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$6114 (2098-17817)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$884 (53-14810)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$6506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Estimates apply specifically to the Medicare beneficiary population. Values are Mean (95% CI). Costs are adjusted to 2023 dollars. CIs calculated using bootstrap standard errors with log-transformation for costs and logit-transformation for proportions.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3. Sensitivity Analysis: Projected Financial Toxicity (FT) in All US Adults With Heart Failure (Including Non-Medicare Populations).</w:t>
            </w:r>
            <w:r>
              <w:t xml:space="preserve"> </w:t>
            </w:r>
            <w:r>
              <w:t xml:space="preserve">Note: Impact is diluted as ~40% of the population (Commercial/Medicaid) is ineligible for the IRA cap.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Patients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 (26.0-39.7)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(28.5-42.7)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 (27.6-41.7)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 (22.6-44.9)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(19.0-42.4)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 (21.8-45.3)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 (21.4-45.0)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 (25.3-43.8)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 (28.2-47.2)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(26.3-45.3)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(18.7-36.2)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 (21.7-41.5)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 (20.1-40.0)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 (29.4-46.4)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39.1 (31.1-47.8)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 (30.7-47.4)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 (50.0-72.0)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67.1 (55.2-77.1)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66.8 (55.1-76.8)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(8.3-28.2)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(9.9-28.9)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 (8.6-25.4)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(1.0-21.1)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 (20.4-36.4)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(23.8-40.3)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 (23.4-39.9)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 (31.9-63.5)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 (32.2-63.8)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 (27.6-61.5)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CIs calculated using Logit-transformed intervals based on bootstrap standard errors (2000 replicates). 'Median Burden' represents the median percentage of post-subsistence income spent on healthcare.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4. Projected Incidence of Catastrophic Financial Toxicity (&gt;40% of Income) Among Medicare Beneficiaries.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 (15.6-30.1)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 (15.8-30.6)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 (14.3-29.1)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(8.9-33.4)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 (15.4-33.3)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(15.7-34.1)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(13.9-31.8)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(12.5-31.1)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 (13.2-32.0)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(10.5-28.8)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 (14.5-35.1)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(37.6-70.8)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(0.3-82.5)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(1.2-58.1)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(0.3-72.7)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(11.0-25.9)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 (11.3-26.5)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(11.2-26.3)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 (15.0-62.0)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Catastrophic toxicity defined as annual person-level out-of-pocket health care expenditures (including premiums) exceeding </w:t>
            </w:r>
            <w:r>
              <w:rPr>
                <w:b w:val="true"/>
                <w:rFonts w:ascii="Calibri" w:hAnsi="Calibri"/>
                <w:sz w:val="20"/>
              </w:rPr>
              <w:t xml:space="preserve">40%</w:t>
            </w:r>
            <w:r>
              <w:rPr>
                <w:rFonts w:ascii="Calibri" w:hAnsi="Calibri"/>
                <w:sz w:val="20"/>
              </w:rPr>
              <w:t xml:space="preserve"> of post-subsistence family income.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Figure 1. Reductions in Catastrophic Financial Toxicity (&gt;40%) by Demographic Subgroup.</w:t>
            </w:r>
          </w:p>
        </w:tc>
      </w:tr>
    </w:tbl>
    <w:p>
      <w:pPr>
        <w:pStyle w:val="BodyText"/>
      </w:pPr>
      <w:r>
        <w:drawing>
          <wp:inline>
            <wp:extent cx="4620126" cy="3696101"/>
            <wp:effectExtent b="0" l="0" r="0" t="0"/>
            <wp:docPr descr="" title="" id="30" name="Picture"/>
            <a:graphic>
              <a:graphicData uri="http://schemas.openxmlformats.org/drawingml/2006/picture">
                <pic:pic>
                  <pic:nvPicPr>
                    <pic:cNvPr descr="main_files/figure-docx/unnamed-chunk-1-4.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Toxicity of Universal SGLT2i in HF</dc:title>
  <dc:creator>Ali Salman</dc:creator>
  <cp:keywords/>
  <dcterms:created xsi:type="dcterms:W3CDTF">2026-01-15T09:20:56Z</dcterms:created>
  <dcterms:modified xsi:type="dcterms:W3CDTF">2026-01-15T09:20:56Z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