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Financial Toxicity of Universal SGLT2i in HF</w:t>
      </w:r>
    </w:p>
    <w:p>
      <w:pPr>
        <w:pStyle w:val="Author"/>
      </w:pPr>
      <w:r>
        <w:t xml:space="preserve">Ali Salman</w:t>
      </w:r>
    </w:p>
    <w:p>
      <w:pPr>
        <w:pStyle w:val="FirstParagraph"/>
      </w:pPr>
      <w:r>
        <w:t xml:space="preserve">— CONSORT FLOW DIAGRAM DATA (Person-Years) —</w:t>
      </w:r>
    </w:p>
    <w:p>
      <w:pPr>
        <w:pStyle w:val="BodyText"/>
      </w:pPr>
      <w:r>
        <w:t xml:space="preserve">STEP 1: Total MEPS Population (2021-2023) | N = 69,686</w:t>
      </w:r>
    </w:p>
    <w:p>
      <w:pPr>
        <w:pStyle w:val="BodyText"/>
      </w:pPr>
      <w:r>
        <w:t xml:space="preserve">Exclusion 1: No HF Diagnosis | n = 69,141</w:t>
      </w:r>
    </w:p>
    <w:p>
      <w:pPr>
        <w:pStyle w:val="BodyText"/>
      </w:pPr>
      <w:r>
        <w:t xml:space="preserve">STEP 2: Heart Failure Diagnosis (CCSR: CIR019) | N = 545 (0.8%)</w:t>
      </w:r>
    </w:p>
    <w:p>
      <w:pPr>
        <w:pStyle w:val="BodyText"/>
      </w:pPr>
      <w:r>
        <w:t xml:space="preserve">Exclusion 2: Pediatric &lt; 18 | n = 0 (0.0%)</w:t>
      </w:r>
    </w:p>
    <w:p>
      <w:pPr>
        <w:pStyle w:val="BodyText"/>
      </w:pPr>
      <w:r>
        <w:t xml:space="preserve">STEP 3: Adult Population (Age &gt;= 18) | N = 545 (100.0%)</w:t>
      </w:r>
    </w:p>
    <w:p>
      <w:pPr>
        <w:pStyle w:val="BodyText"/>
      </w:pPr>
      <w:r>
        <w:t xml:space="preserve">Exclusion 3: No GDMT Exclusion (Universal Sample Retained) | n = 0</w:t>
      </w:r>
    </w:p>
    <w:p>
      <w:pPr>
        <w:pStyle w:val="BodyText"/>
      </w:pPr>
      <w:r>
        <w:t xml:space="preserve">STEP 4: Broad HF Cohort | N = 545 (100.0%)</w:t>
      </w:r>
    </w:p>
    <w:p>
      <w:pPr>
        <w:pStyle w:val="BodyText"/>
      </w:pPr>
      <w:r>
        <w:t xml:space="preserve">Exclusion 4: Uninsured/Other | n = 12 (2.2%)</w:t>
      </w:r>
    </w:p>
    <w:p>
      <w:pPr>
        <w:pStyle w:val="BodyText"/>
      </w:pPr>
      <w:r>
        <w:t xml:space="preserve">STEP 5: Final Analytic Cohort (Valid Insurance) | N = 533 (97.8%)</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p>
            <w:pPr>
              <w:pStyle w:val="Compact"/>
            </w:pPr>
            <w:r>
              <w:t xml:space="preserve">Table 1. Demographic and Clinical Characteristics of US Adults With Heart Failure by Insurance Type, 2021-2023.</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xmlns:w="http://schemas.openxmlformats.org/wordprocessingml/2006/main">
              <w:rPr>
                <w:rFonts w:ascii="Calibri" w:hAnsi="Calibri"/>
                <w:sz w:val="20"/>
              </w:rPr>
              <w:t xml:space="preserve"> </w:t>
            </w:r>
            <w:r>
              <w:rPr>
                <w:rFonts w:ascii="Calibri" w:hAnsi="Calibri"/>
                <w:sz w:val="20"/>
              </w:rPr>
              <w:t xml:space="preserve">N = 1,833,138 (100%)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Medicaid or Dual Eligible</w:t>
            </w:r>
            <w:r xmlns:w="http://schemas.openxmlformats.org/wordprocessingml/2006/main">
              <w:rPr>
                <w:rFonts w:ascii="Calibri" w:hAnsi="Calibri"/>
                <w:sz w:val="20"/>
              </w:rPr>
              <w:t xml:space="preserve"> </w:t>
            </w:r>
            <w:r>
              <w:rPr>
                <w:rFonts w:ascii="Calibri" w:hAnsi="Calibri"/>
                <w:sz w:val="20"/>
              </w:rPr>
              <w:t xml:space="preserve">N = 582,020 (32%)</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Medicare</w:t>
            </w:r>
            <w:r xmlns:w="http://schemas.openxmlformats.org/wordprocessingml/2006/main">
              <w:rPr>
                <w:rFonts w:ascii="Calibri" w:hAnsi="Calibri"/>
                <w:sz w:val="20"/>
              </w:rPr>
              <w:t xml:space="preserve"> </w:t>
            </w:r>
            <w:r>
              <w:rPr>
                <w:rFonts w:ascii="Calibri" w:hAnsi="Calibri"/>
                <w:sz w:val="20"/>
              </w:rPr>
              <w:t xml:space="preserve">N = 1,083,339 (59%)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Private/Commercial</w:t>
            </w:r>
            <w:r xmlns:w="http://schemas.openxmlformats.org/wordprocessingml/2006/main">
              <w:rPr>
                <w:rFonts w:ascii="Calibri" w:hAnsi="Calibri"/>
                <w:sz w:val="20"/>
              </w:rPr>
              <w:t xml:space="preserve"> </w:t>
            </w:r>
            <w:r>
              <w:rPr>
                <w:rFonts w:ascii="Calibri" w:hAnsi="Calibri"/>
                <w:sz w:val="20"/>
              </w:rPr>
              <w:t xml:space="preserve">N = 167,779 (9.2%)</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SGLT2 Inhibitor Use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242,314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72,502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137,103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32,709 (19%)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Category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18-64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610,131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367,772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74,580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167,779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65-74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421,899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117,246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304,653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≥75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801,109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97,003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704,106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840,041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222,755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506,953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110,333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993,097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359,266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576,386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57,446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Race and 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1,336,511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353,994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892,945 (82%)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89,572 (53%)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310,743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132,585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120,688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57,469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Hispanic or Latino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90,137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49,229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40,909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Race and 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95,747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46,213 (7.9%)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28,797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20,738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Annual Household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Low (&lt;125%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780,289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396,151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358,899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25,239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Middle (125%-400%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541,851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120,024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351,918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69,908 (42%)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 (&gt;400%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510,999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65,845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372,522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72,632 (43%)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Employment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Employed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1,326,914 (79%)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493,390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810,986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22,538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Employed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351,772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74,051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132,479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145,241 (87%)</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w:t>
            </w:r>
          </w:p>
        </w:tc>
      </w:tr>
      <w:tr>
        <w:trPr>
          <w:cantSplit/>
        </w:trPr>
        <w:tc>
          <w:tcPr>
            <w:gridSpan w:val="5"/>
          </w:tcPr>
          <w:p>
            <w:pPr>
              <w:spacing w:before="0" w:after="60"/>
              <w:keepNext/>
            </w:pPr>
            <w:r>
              <w:rPr>
                <w:i/>
                <w:rFonts w:ascii="Calibri" w:hAnsi="Calibri"/>
                <w:sz w:val="20"/>
              </w:rPr>
              <w:t xml:space="preserve">Notes:</w:t>
            </w:r>
            <w:r>
              <w:rPr>
                <w:rFonts w:ascii="Calibri" w:hAnsi="Calibri"/>
                <w:sz w:val="20"/>
              </w:rPr>
              <w:t xml:space="preserve"> Data derived from the Medical Expenditure Panel Survey (MEPS), pooled 2021–2023. Values represent weighted national estimates. SGLT2 indicates sodium-glucose cotransporter 2. Income categories are based on the Federal Poverty Level (FPL).</w:t>
            </w:r>
          </w:p>
        </w:tc>
      </w:tr>
    </w:tbl>
    <w:tbl>
      <w:tblPr>
        <w:tblStyle w:val="Table"/>
        <w:tblW w:type="pct" w:w="5000"/>
        <w:tblLayout w:type="fixed"/>
        <w:tblLook w:firstRow="0" w:lastRow="0" w:firstColumn="0" w:lastColumn="0" w:noHBand="0" w:noVBand="0" w:val="0000"/>
      </w:tblPr>
      <w:tblGrid>
        <w:gridCol w:w="7920"/>
      </w:tblGrid>
      <w:tr>
        <w:tc>
          <w:tcPr/>
          <w:p>
            <w:pPr>
              <w:pStyle w:val="Compact"/>
            </w:pPr>
            <w:r>
              <w:t xml:space="preserve">Table 2. Mean Annual Out-of-Pocket Health Care Expenditures Among US Adults With Heart Failure by Service Category and Demographic Subgroup.</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Total Out-of-Pocket Expenditures</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Prescription Drugs</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Health Insurance Premiums</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Outpatient and Office-Based Care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Inpatient Hospital Care</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Other Medical</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Overall Population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$3256 (2558-4143)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$559 (396-789)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$888 (610-1292)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$458 (287-730)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 (110-380)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$1147 (682-1929)</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Insurance Type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Medicaid or Dual Eligible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$886 (521-1507)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 (70-148)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$322 (88-1172)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(48-337)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(28-264)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$250 (115-544)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$4108 (3146-5365)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$834 (574-1211)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$826 (526-1296)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$531 (295-955)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$173 (75-399)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$1744 (994-3060)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Private/Commercial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$5971 (3408-10461)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$373 (239-582)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$3248 (1713-6159)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$1129 (518-2462)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$820 (244-2751)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$401 (201-798)</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Age Group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18-64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$2307 (1410-3774)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$210 (151-291)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$1112 (574-2154)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$417 (197-882)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$307 (123-769)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(131-520)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65-74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$3431 (2267-5194)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$765 (479-1221)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$980 (443-2169)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$428 (145-1265)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 (49-229)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$1152 (649-2045)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$3886 (2674-5645)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$717 (411-1251)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$668 (421-1060)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$504 (251-1012)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$178 (61-519)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$1818 (888-3724)</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Sex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$3097 (2262-4240)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$657 (368-1172)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$948 (622-1445)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$332 (180-614)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(100-207)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$1016 (495-2085)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$3390 (2306-4983)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$477 (335-677)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$836 (443-1577)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$564 (304-1044)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$256 (104-631)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$1257 (593-2666)</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Income Level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(&lt;125%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$1814 (1331-2473)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$428 (277-662)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$485 (242-972)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$303 (144-639)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 (69-259)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$464 (306-704)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Middle (125%-400%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$3684 (2236-6069)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$607 (339-1086)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$798 (495-1285)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$412 (207-821)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$161 (67-387)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$1706 (637-4569)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(&gt;400%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$5003 (3441-7274)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$708 (435-1152)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$1598 (868-2940)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$742 (352-1565)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$359 (114-1135)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$1595 (751-3390)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Race and Ethnicity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$3396 (2556-4510)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$498 (399-621)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$787 (528-1175)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$496 (298-828)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 (108-389)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$1409 (791-2509)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$3148 (1507-6573)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$848 (270-2663)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$1370 (522-3596)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$237 (72-779)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 (36-1739)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$441 (124-1569)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Hispanic or Latino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$3145 (755-13100)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$775 (121-4950)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$782 (115-5329)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$926 (93-9199)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 (20-619)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$550 (86-3540)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Race and 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$1757 (1080-2858)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$274 (129-581)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$820 (376-1787)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(33-1083)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$138 (29-658)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$335 (96-1168)</w:t>
            </w:r>
          </w:p>
        </w:tc>
      </w:tr>
      <w:tr>
        <w:trPr>
          <w:cantSplit/>
        </w:trPr>
        <w:tc>
          <w:tcPr>
            <w:gridSpan w:val="7"/>
          </w:tcPr>
          <w:p>
            <w:pPr>
              <w:spacing w:before="0" w:after="60"/>
              <w:keepNext/>
            </w:pPr>
            <w:r>
              <w:rPr>
                <w:i/>
                <w:rFonts w:ascii="Calibri" w:hAnsi="Calibri"/>
                <w:sz w:val="20"/>
              </w:rPr>
              <w:t xml:space="preserve">Notes:</w:t>
            </w:r>
            <w:r>
              <w:rPr>
                <w:rFonts w:ascii="Calibri" w:hAnsi="Calibri"/>
                <w:sz w:val="20"/>
              </w:rPr>
              <w:t xml:space="preserve"> Values represent mean annual out-of-pocket (OOP) expenditures. All costs are adjusted to 2023 US dollars. Confidence intervals (95%) were calculated using bootstrap-estimated standard errors (2000 replicates) and log-transformation to account for the right-skewed distribution of health care costs.</w:t>
            </w:r>
          </w:p>
        </w:tc>
      </w:tr>
    </w:tbl>
    <w:tbl>
      <w:tblPr>
        <w:tblStyle w:val="Table"/>
        <w:tblW w:type="pct" w:w="5000"/>
        <w:tblLayout w:type="fixed"/>
        <w:tblLook w:firstRow="0" w:lastRow="0" w:firstColumn="0" w:lastColumn="0" w:noHBand="0" w:noVBand="0" w:val="0000"/>
      </w:tblPr>
      <w:tblGrid>
        <w:gridCol w:w="7920"/>
      </w:tblGrid>
      <w:tr>
        <w:tc>
          <w:tcPr/>
          <w:p>
            <w:pPr>
              <w:pStyle w:val="Compact"/>
            </w:pPr>
            <w:r>
              <w:t xml:space="preserve">Table 3. Projected Incidence of Financial Toxicity Among Medicare Beneficiaries Under Universal SGLT2 Inhibitor Adherence and Inflation Reduction Act Scenarios.</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Baseline Utilization, % (95% CI)</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Baseline Median Burden</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Universal SGLT2 Inhibitor Adherence, % (95% CI)</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Universal Median Burden</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Inflation Reduction Act Implementation, % (95% CI)</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Post-IRA Median Burden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Absolute Risk Reduction,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Relative Risk Reduction, %</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rPr>
              <w:t xml:space="default">Overall Population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Medicare Beneficiaries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30.6 (23.2-39.0)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35.3 (27.5-43.9)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33.7 (25.8-42.5)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rPr>
              <w:t xml:space="default">Age Group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18-64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26.6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42.4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42.4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65-74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27.6 (17.3-41.1)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 (21.4-44.7)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31.4 (20.8-44.4)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32.2 (22.9-43.2)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36.0 (26.2-47.0)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33.7 (24.1-44.9)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rPr>
              <w:t xml:space="default">Sex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(17.4-36.6)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32.8 (22.5-45.0)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30.0 (19.8-42.7)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34.7 (24.4-46.6)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 (27.3-48.8)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36.8 (26.7-48.2)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rPr>
              <w:t xml:space="default">Income Level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(&lt;125%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64.9 (45.7-80.2)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76.7 (55.2-89.8)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76.2 (55.0-89.4)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Middle (125%-400%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 (12.1-40.5)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(14.6-41.6)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22.4 (12.5-36.7)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(&gt;400%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(0.2-53.4)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(0.2-53.4)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rPr>
              <w:t xml:space="default">Race and Ethnicity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 (19.0-36.6)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32.6 (23.9-42.5)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31.9 (23.4-41.9)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49.7 (29.7-69.9)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 (30.4-70.5)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40.3 (18.1-67.5)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Hispanic or Latino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Race and 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44.7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44.7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44.7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r>
        <w:trPr>
          <w:cantSplit/>
        </w:trPr>
        <w:tc>
          <w:tcPr>
            <w:gridSpan w:val="9"/>
          </w:tcPr>
          <w:p>
            <w:pPr>
              <w:spacing w:before="0" w:after="60"/>
              <w:keepNext/>
            </w:pPr>
            <w:r>
              <w:rPr>
                <w:i/>
                <w:rFonts w:ascii="Calibri" w:hAnsi="Calibri"/>
                <w:sz w:val="20"/>
              </w:rPr>
              <w:t xml:space="preserve">Notes:</w:t>
            </w:r>
            <w:r>
              <w:rPr>
                <w:rFonts w:ascii="Calibri" w:hAnsi="Calibri"/>
                <w:sz w:val="20"/>
              </w:rPr>
              <w:t xml:space="preserve"> Financial toxicity is defined as annual out-of-pocket health care expenditures (including premiums) exceeding 20% of post-subsistence income (income remaining after food, clothing, transportation, shelter, and other necessities). 'Universal SGLT2 Inhibitor Adherence' assumes 100% adherence to guideline-directed therapy. 'Inflation Reduction Act Implementation' applies a $2,000 annual pharmacy cap to the Medicare Part D portion. CIs calculated using Logit-transformed intervals based on bootstrap standard errors (2000 replicates). '--' = Suppressed due to statistical unreliability (insufficient sample size or variance instability).</w:t>
            </w:r>
          </w:p>
        </w:tc>
      </w:tr>
    </w:tbl>
    <w:tbl>
      <w:tblPr>
        <w:tblStyle w:val="Table"/>
        <w:tblW w:type="pct" w:w="5000"/>
        <w:tblLayout w:type="fixed"/>
        <w:tblLook w:firstRow="0" w:lastRow="0" w:firstColumn="0" w:lastColumn="0" w:noHBand="0" w:noVBand="0" w:val="0000"/>
      </w:tblPr>
      <w:tblGrid>
        <w:gridCol w:w="7920"/>
      </w:tblGrid>
      <w:tr>
        <w:tc>
          <w:tcPr/>
          <w:p>
            <w:pPr>
              <w:pStyle w:val="Compact"/>
            </w:pPr>
            <w:r>
              <w:t xml:space="preserve">Table 4. Policy Efficiency Metrics Among Medicare Beneficiaries: Number Needed to Treat/Harm and Projected Cases of Financial Toxicity Prevented.</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Economic Number Needed to Harm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Economic Number Needed to Treat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Projected Cases Prevented, No.</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Overall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17,692</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Age Group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18-64 Years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Negl.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65-74 Years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Years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15,999</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Sex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Female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3,749</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Income Level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(&lt;125% FPL)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Negl.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Middle (125%-400% FPL)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(&gt;400% FPL)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Negl.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3,749</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Race and Ethnicity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White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Black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Hispanic or Latino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Negl.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Negl.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Race and Ethnicity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Negl.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Negl.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gridSpan w:val="4"/>
          </w:tcPr>
          <w:p>
            <w:pPr>
              <w:spacing w:before="0" w:after="60"/>
              <w:keepNext/>
            </w:pPr>
            <w:r>
              <w:rPr>
                <w:i/>
                <w:rFonts w:ascii="Calibri" w:hAnsi="Calibri"/>
                <w:sz w:val="20"/>
              </w:rPr>
              <w:t xml:space="preserve">Notes:</w:t>
            </w:r>
            <w:r>
              <w:rPr>
                <w:rFonts w:ascii="Calibri" w:hAnsi="Calibri"/>
                <w:sz w:val="20"/>
              </w:rPr>
              <w:t xml:space="preserve"> Economic Number Needed to Harm indicates the number of patients prescribed Universal SGLT2 inhibitors to cause one new case of financial toxicity. Economic Number Needed to Treat indicates the number of patients benefiting from the IRA cap to prevent one case of financial toxicity. 'Negl.' = Negligible risk difference (&lt;0.5%).</w:t>
            </w:r>
          </w:p>
        </w:tc>
      </w:tr>
    </w:tbl>
    <w:tbl>
      <w:tblPr>
        <w:tblStyle w:val="Table"/>
        <w:tblW w:type="pct" w:w="5000"/>
        <w:tblLayout w:type="fixed"/>
        <w:tblLook w:firstRow="0" w:lastRow="0" w:firstColumn="0" w:lastColumn="0" w:noHBand="0" w:noVBand="0" w:val="0000"/>
      </w:tblPr>
      <w:tblGrid>
        <w:gridCol w:w="7920"/>
      </w:tblGrid>
      <w:tr>
        <w:tc>
          <w:tcPr/>
          <w:p>
            <w:pPr>
              <w:pStyle w:val="Compact"/>
            </w:pPr>
            <w:r>
              <w:t xml:space="preserve">Figure 1. Prevalence of Financial Toxicity and Composition of Out-of-Pocket Costs Among Medicare Beneficiaries by Policy Scenario.</w:t>
            </w:r>
          </w:p>
        </w:tc>
      </w:tr>
    </w:tbl>
    <w:p>
      <w:pPr>
        <w:pStyle w:val="BodyText"/>
      </w:pPr>
      <w:r>
        <w:drawing>
          <wp:inline>
            <wp:extent cx="4620126" cy="3696101"/>
            <wp:effectExtent b="0" l="0" r="0" t="0"/>
            <wp:docPr descr="" title="" id="21" name="Picture"/>
            <a:graphic>
              <a:graphicData uri="http://schemas.openxmlformats.org/drawingml/2006/picture">
                <pic:pic>
                  <pic:nvPicPr>
                    <pic:cNvPr descr="main_files/figure-docx/unnamed-chunk-1-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W w:type="pct" w:w="5000"/>
        <w:tblLayout w:type="fixed"/>
        <w:tblLook w:firstRow="0" w:lastRow="0" w:firstColumn="0" w:lastColumn="0" w:noHBand="0" w:noVBand="0" w:val="0000"/>
      </w:tblPr>
      <w:tblGrid>
        <w:gridCol w:w="7920"/>
      </w:tblGrid>
      <w:tr>
        <w:tc>
          <w:tcPr/>
          <w:p>
            <w:pPr>
              <w:pStyle w:val="Compact"/>
            </w:pPr>
            <w:r>
              <w:t xml:space="preserve">Figure 2. Changes in Financial Toxicity Prevalence Among Medicare Beneficiaries Under the Inflation Reduction Act by Demographic Subgroup.</w:t>
            </w:r>
          </w:p>
        </w:tc>
      </w:tr>
    </w:tbl>
    <w:p>
      <w:pPr>
        <w:pStyle w:val="BodyText"/>
      </w:pPr>
      <w:r>
        <w:drawing>
          <wp:inline>
            <wp:extent cx="4620126" cy="3696101"/>
            <wp:effectExtent b="0" l="0" r="0" t="0"/>
            <wp:docPr descr="" title="" id="24" name="Picture"/>
            <a:graphic>
              <a:graphicData uri="http://schemas.openxmlformats.org/drawingml/2006/picture">
                <pic:pic>
                  <pic:nvPicPr>
                    <pic:cNvPr descr="main_files/figure-docx/unnamed-chunk-1-2.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W w:type="pct" w:w="5000"/>
        <w:tblLayout w:type="fixed"/>
        <w:tblLook w:firstRow="0" w:lastRow="0" w:firstColumn="0" w:lastColumn="0" w:noHBand="0" w:noVBand="0" w:val="0000"/>
      </w:tblPr>
      <w:tblGrid>
        <w:gridCol w:w="7920"/>
      </w:tblGrid>
      <w:tr>
        <w:tc>
          <w:tcPr/>
          <w:p>
            <w:pPr>
              <w:pStyle w:val="Compact"/>
            </w:pPr>
            <w:r>
              <w:t xml:space="preserve">Figure 3. Distribution of Insurance Coverage Types Among US Adults With Heart Failure Across Racial and Economic Subgroups.</w:t>
            </w:r>
          </w:p>
        </w:tc>
      </w:tr>
    </w:tbl>
    <w:p>
      <w:pPr>
        <w:pStyle w:val="BodyText"/>
      </w:pPr>
      <w:r>
        <w:drawing>
          <wp:inline>
            <wp:extent cx="4620126" cy="3696101"/>
            <wp:effectExtent b="0" l="0" r="0" t="0"/>
            <wp:docPr descr="" title="" id="27" name="Picture"/>
            <a:graphic>
              <a:graphicData uri="http://schemas.openxmlformats.org/drawingml/2006/picture">
                <pic:pic>
                  <pic:nvPicPr>
                    <pic:cNvPr descr="main_files/figure-docx/unnamed-chunk-1-3.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W w:type="pct" w:w="5000"/>
        <w:tblLayout w:type="fixed"/>
        <w:tblLook w:firstRow="0" w:lastRow="0" w:firstColumn="0" w:lastColumn="0" w:noHBand="0" w:noVBand="0" w:val="0000"/>
      </w:tblPr>
      <w:tblGrid>
        <w:gridCol w:w="7920"/>
      </w:tblGrid>
      <w:tr>
        <w:tc>
          <w:tcPr/>
          <w:p>
            <w:pPr>
              <w:pStyle w:val="Compact"/>
            </w:pPr>
            <w:r>
              <w:t xml:space="preserve">Supplementary Table 1. Median Annual Out-of-Pocket Costs for SGLT2 Inhibitors by Insurance Type.</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Insurance Plan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Annual SGLT2i Cost (IQR)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Medicaid or Dual Eligible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Medicare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$532 ($46-$1337)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Private/Commercial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 ($91-$91)</w:t>
            </w:r>
          </w:p>
        </w:tc>
      </w:tr>
      <w:tr>
        <w:trPr>
          <w:cantSplit/>
        </w:trPr>
        <w:tc>
          <w:tcPr>
            <w:gridSpan w:val="2"/>
          </w:tcPr>
          <w:p>
            <w:pPr>
              <w:spacing w:before="0" w:after="60"/>
              <w:keepNext/>
            </w:pPr>
            <w:r>
              <w:rPr>
                <w:rFonts w:ascii="Calibri" w:hAnsi="Calibri"/>
                <w:sz w:val="20"/>
              </w:rPr>
              <w:t xml:space="default">Notes: Values are Median (Interquartile Range [Q1-Q3]). Costs are adjusted to 2023 dollars. Calculated using weighted survey quantiles.</w:t>
            </w:r>
          </w:p>
        </w:tc>
      </w:tr>
    </w:tbl>
    <w:tbl>
      <w:tblPr>
        <w:tblStyle w:val="Table"/>
        <w:tblW w:type="pct" w:w="5000"/>
        <w:tblLayout w:type="fixed"/>
        <w:tblLook w:firstRow="0" w:lastRow="0" w:firstColumn="0" w:lastColumn="0" w:noHBand="0" w:noVBand="0" w:val="0000"/>
      </w:tblPr>
      <w:tblGrid>
        <w:gridCol w:w="7920"/>
      </w:tblGrid>
      <w:tr>
        <w:tc>
          <w:tcPr/>
          <w:p>
            <w:pPr>
              <w:pStyle w:val="Compact"/>
            </w:pPr>
            <w:r>
              <w:t xml:space="preserve">Supplementary Table 2. Projected Annual Out-of-Pocket Savings for Medicare Beneficiaries Stratified by Demographic Subgroups with 95% Bootstrap CIs.</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Pre-IRA OOP</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Post-IRA OOP</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Net Savings</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 Benefiting</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Savings (Beneficiaries)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Overall Population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$4615 (3640-5852)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$4330 (3377-5552)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$285 (118-687)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 (7.9-20.8)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$2179 (1209-3928)</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Age Group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18-64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$1721 (1109-2670)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$1716 (1106-2663)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(0-149)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65-74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$4950 (3488-7026)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$4629 (3288-6516)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$322 (109-953)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15.4 (8.5-26.2)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$2090 (824-5302)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$4777 (3394-6723)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$4478 (3141-6385)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$299 (88-1016)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(6.5-24.3)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$2297 (987-5344)</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$4148 (2916-5899)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$3752 (2644-5324)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$396 (111-1413)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 (5.2-29.7)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$2999 (1294-6951)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$5026 (3462-7297)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$4839 (3303-7090)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 (72-487)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(8.1-20.2)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$1445 (665-3139)</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Income Level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(&lt;125%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$3213 (2287-4514)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$2921 (2175-3924)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$292 (98-864)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12.2 (6.5-21.7)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$2391 (1035-5523)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Middle (125%-400%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$5203 (3117-8685)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$4924 (2868-8456)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$278 (58-1331)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13.9 (6.5-27.3)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$1998 (550-7257)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(&gt;400% FPL)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$5411 (3758-7791)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$5127 (3526-7455)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$284 (83-980)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 (4.8-31.2)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$2170 (864-5449)</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Race and Ethnicity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$4582 (3445-6093)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$4456 (3335-5952)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 (55-289)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 (6.8-17.7)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$1135 (611-2106)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$4498 (2343-8635)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$3173 (1466-6865)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$1326 (339-5187)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30.6 (6.9-72.6)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$4328 (1821-10288)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Hispanic or Latino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$6999 (1983-24705)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$6114 (2098-17817)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$884 (53-14810)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$6506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Race and Ethnicity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$2762 (1134-6732)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$2762 (1134-6732)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gridSpan w:val="6"/>
          </w:tcPr>
          <w:p>
            <w:pPr>
              <w:spacing w:before="0" w:after="60"/>
              <w:keepNext/>
            </w:pPr>
            <w:r>
              <w:rPr>
                <w:i/>
                <w:rFonts w:ascii="Calibri" w:hAnsi="Calibri"/>
                <w:sz w:val="20"/>
              </w:rPr>
              <w:t xml:space="preserve">Notes:</w:t>
            </w:r>
            <w:r>
              <w:rPr>
                <w:rFonts w:ascii="Calibri" w:hAnsi="Calibri"/>
                <w:sz w:val="20"/>
              </w:rPr>
              <w:t xml:space="preserve"> Estimates apply specifically to the Medicare beneficiary population. Values are Mean (95% CI). Costs are adjusted to 2023 dollars. CIs calculated using bootstrap standard errors with log-transformation for costs and logit-transformation for proportions. '--' = Suppressed due to statistical unreliability (insufficient sample size or variance instability).</w:t>
            </w:r>
          </w:p>
        </w:tc>
      </w:tr>
    </w:tbl>
    <w:tbl>
      <w:tblPr>
        <w:tblStyle w:val="Table"/>
        <w:tblW w:type="pct" w:w="5000"/>
        <w:tblLayout w:type="fixed"/>
        <w:tblLook w:firstRow="0" w:lastRow="0" w:firstColumn="0" w:lastColumn="0" w:noHBand="0" w:noVBand="0" w:val="0000"/>
      </w:tblPr>
      <w:tblGrid>
        <w:gridCol w:w="7920"/>
      </w:tblGrid>
      <w:tr>
        <w:tc>
          <w:tcPr/>
          <w:p>
            <w:pPr>
              <w:pStyle w:val="Compact"/>
            </w:pPr>
            <w:r>
              <w:t xml:space="preserve">Supplementary Table 3. Sensitivity Analysis: Projected Financial Toxicity (FT) in All US Adults With Heart Failure (Including Non-Medicare Populations).</w:t>
            </w:r>
            <w:r>
              <w:t xml:space="preserve"> </w:t>
            </w:r>
            <w:r>
              <w:t xml:space="preserve">Note: Impact is diluted as ~40% of the population (Commercial/Medicaid) is ineligible for the IRA cap.</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Baseline (95% CI)</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Baseline Median Burden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Universal SGLT2i (95% CI)</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Universal Median Burden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Post-IRA (95% CI)</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Post-IRA Median Burden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Absolute Reduction (ARR,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Relative Reduction (RRR, %)</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rPr>
              <w:t xml:space="default">Overall Population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Patients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32.5 (26.0-39.7)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35.3 (28.5-42.7)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34.3 (27.6-41.7)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rPr>
              <w:t xml:space="default">Age Group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18-64 Years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32.8 (22.6-44.9)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34.7 (24.0-47.2)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34.7 (24.0-47.2)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65-74 Years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29.3 (19.0-42.4)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 (21.8-45.3)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 (21.4-45.0)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Years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33.9 (25.3-43.8)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37.2 (28.2-47.2)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(26.3-45.3)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rPr>
              <w:t xml:space="default">Sex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 (18.7-36.2)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30.7 (21.7-41.5)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29.1 (20.1-40.0)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Female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 (29.4-46.4)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39.1 (31.1-47.8)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38.8 (30.7-47.4)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rPr>
              <w:t xml:space="default">Income Level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(&lt;125% FPL)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61.6 (50.0-72.0)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67.1 (55.2-77.1)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66.8 (55.1-76.8)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Middle (125%-400% FPL)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(8.3-28.2)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(9.9-28.9)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 (8.6-25.4)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(&gt;400% FPL)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 (1.4-19.6)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 (1.4-19.6)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(1.0-21.1)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rPr>
              <w:t xml:space="default">Race and Ethnicity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White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27.7 (20.4-36.4)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 (23.8-40.3)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31.0 (23.4-39.9)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Black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47.5 (31.9-63.5)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47.8 (32.2-63.8)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43.8 (27.6-61.5)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Hispanic or Latino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44.0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44.0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44.0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Race and Ethnicity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40.0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40.0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40.0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rPr>
              <w:t xml:space="default">Insurance Type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Medicaid or Dual Eligible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40.2 (29.2-52.3)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40.2 (29.2-52.3)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40.2 (29.2-52.3)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Medicare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30.6 (23.2-39.0)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35.3 (27.5-43.9)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33.7 (25.8-42.5)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Private/Commercial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 (5.5-45.7)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 (5.5-45.7)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 (5.5-45.7)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r>
        <w:trPr>
          <w:cantSplit/>
        </w:trPr>
        <w:tc>
          <w:tcPr>
            <w:gridSpan w:val="9"/>
          </w:tcPr>
          <w:p>
            <w:pPr>
              <w:spacing w:before="0" w:after="60"/>
              <w:keepNext/>
            </w:pPr>
            <w:r>
              <w:rPr>
                <w:i/>
                <w:rFonts w:ascii="Calibri" w:hAnsi="Calibri"/>
                <w:sz w:val="20"/>
              </w:rPr>
              <w:t xml:space="preserve">Notes:</w:t>
            </w:r>
            <w:r>
              <w:rPr>
                <w:rFonts w:ascii="Calibri" w:hAnsi="Calibri"/>
                <w:sz w:val="20"/>
              </w:rPr>
              <w:t xml:space="preserve"> CIs calculated using Logit-transformed intervals based on bootstrap standard errors (2000 replicates). 'Median Burden' represents the median percentage of post-subsistence income spent on healthcare. '--' = Suppressed due to statistical unreliability (insufficient sample size or variance instability).</w:t>
            </w:r>
          </w:p>
        </w:tc>
      </w:tr>
    </w:tbl>
    <w:tbl>
      <w:tblPr>
        <w:tblStyle w:val="Table"/>
        <w:tblW w:type="pct" w:w="5000"/>
        <w:tblLayout w:type="fixed"/>
        <w:tblLook w:firstRow="0" w:lastRow="0" w:firstColumn="0" w:lastColumn="0" w:noHBand="0" w:noVBand="0" w:val="0000"/>
      </w:tblPr>
      <w:tblGrid>
        <w:gridCol w:w="7920"/>
      </w:tblGrid>
      <w:tr>
        <w:tc>
          <w:tcPr/>
          <w:p>
            <w:pPr>
              <w:pStyle w:val="Compact"/>
            </w:pPr>
            <w:r>
              <w:t xml:space="preserve">Supplementary Table 4. Projected Incidence of Catastrophic Financial Toxicity (&gt;40% of Income) Among Medicare Beneficiaries.</w:t>
            </w:r>
          </w:p>
        </w:tc>
      </w:tr>
    </w:tbl>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Baseline (95% 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Universal SGLT2i (95% 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Post-IRA (95% 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Absolute Reduction (ARR,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Relative Reduction (RRR, %)</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Overall Population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Medicare Beneficiaries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 (15.6-30.1)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 (15.8-30.6)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 (14.3-29.1)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Age Group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18-64 Years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65-74 Years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 (9.6-33.7)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 (9.6-33.7)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 (8.9-33.4)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Years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 (15.4-33.3)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(15.7-34.1)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(13.9-31.8)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(12.5-31.1)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 (13.2-32.0)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 (10.5-28.8)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Female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23.5 (14.8-35.2)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23.5 (14.8-35.2)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 (14.5-35.1)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Income Level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(&lt;125% FPL)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56.3 (39.1-72.2)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56.3 (39.1-72.2)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(37.6-70.8)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Middle (125%-400% FPL)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(0.3-82.5)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 (1.2-58.1)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(0.3-72.7)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(&gt;400% FPL)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Race and Ethnicity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White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(11.0-25.9)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17.6 (11.3-26.5)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(11.2-26.3)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Black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48.6 (28.7-68.9)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48.6 (28.7-68.9)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34.9 (15.0-62.0)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Hispanic or Latino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32.7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32.7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32.7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Race and Ethnicity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44.7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44.7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44.7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r>
        <w:trPr>
          <w:cantSplit/>
        </w:trPr>
        <w:tc>
          <w:tcPr>
            <w:gridSpan w:val="6"/>
          </w:tcPr>
          <w:p>
            <w:pPr>
              <w:spacing w:before="0" w:after="60"/>
              <w:keepNext/>
            </w:pPr>
            <w:r>
              <w:rPr>
                <w:i/>
                <w:rFonts w:ascii="Calibri" w:hAnsi="Calibri"/>
                <w:sz w:val="20"/>
              </w:rPr>
              <w:t xml:space="preserve">Notes:</w:t>
            </w:r>
            <w:r>
              <w:rPr>
                <w:rFonts w:ascii="Calibri" w:hAnsi="Calibri"/>
                <w:sz w:val="20"/>
              </w:rPr>
              <w:t xml:space="preserve"> Catastrophic toxicity defined as annual person-level out-of-pocket health care expenditures (including premiums) exceeding </w:t>
            </w:r>
            <w:r>
              <w:rPr>
                <w:b w:val="true"/>
                <w:rFonts w:ascii="Calibri" w:hAnsi="Calibri"/>
                <w:sz w:val="20"/>
              </w:rPr>
              <w:t xml:space="preserve">40%</w:t>
            </w:r>
            <w:r>
              <w:rPr>
                <w:rFonts w:ascii="Calibri" w:hAnsi="Calibri"/>
                <w:sz w:val="20"/>
              </w:rPr>
              <w:t xml:space="preserve"> of post-subsistence family income. '--' = Suppressed due to statistical unreliability (insufficient sample size or variance instability).</w:t>
            </w:r>
          </w:p>
        </w:tc>
      </w:tr>
    </w:tbl>
    <w:tbl>
      <w:tblPr>
        <w:tblStyle w:val="Table"/>
        <w:tblW w:type="pct" w:w="5000"/>
        <w:tblLayout w:type="fixed"/>
        <w:tblLook w:firstRow="0" w:lastRow="0" w:firstColumn="0" w:lastColumn="0" w:noHBand="0" w:noVBand="0" w:val="0000"/>
      </w:tblPr>
      <w:tblGrid>
        <w:gridCol w:w="7920"/>
      </w:tblGrid>
      <w:tr>
        <w:tc>
          <w:tcPr/>
          <w:p>
            <w:pPr>
              <w:pStyle w:val="Compact"/>
            </w:pPr>
            <w:r>
              <w:t xml:space="preserve">Supplementary Figure 1. Reductions in Catastrophic Financial Toxicity (&gt;40%) Among Medicare Beneficiaries by Demographic Subgroup.</w:t>
            </w:r>
          </w:p>
        </w:tc>
      </w:tr>
    </w:tbl>
    <w:p>
      <w:pPr>
        <w:pStyle w:val="BodyText"/>
      </w:pPr>
      <w:r>
        <w:drawing>
          <wp:inline>
            <wp:extent cx="4620126" cy="3696101"/>
            <wp:effectExtent b="0" l="0" r="0" t="0"/>
            <wp:docPr descr="" title="" id="30" name="Picture"/>
            <a:graphic>
              <a:graphicData uri="http://schemas.openxmlformats.org/drawingml/2006/picture">
                <pic:pic>
                  <pic:nvPicPr>
                    <pic:cNvPr descr="main_files/figure-docx/unnamed-chunk-1-4.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Financial Toxicity of Universal SGLT2i in HF</dc:title>
  <dc:creator>Ali Salman</dc:creator>
  <cp:keywords/>
  <dcterms:created xsi:type="dcterms:W3CDTF">2026-01-16T10:06:23Z</dcterms:created>
  <dcterms:modified xsi:type="dcterms:W3CDTF">2026-01-16T10:06:23Z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