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Table 1. Benchmark and reference context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3354"/>
        <w:gridCol w:w="6510"/>
      </w:tblGrid>
      <w:tr>
        <w:trPr>
          <w:cantSplit/>
          <w:tblHeader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Characteristic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Value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Trials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102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Meta-analyses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Specialties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Trials with protocol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26/102 (25.5%)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Trials with registry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73/102 (71.6%)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Trials with SAP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22/102 (21.6%)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Trials with supplement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69/102 (67.6%)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D1–D5: Published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Low: 427/510 (83.7%); Some concerns: 69/510 (13.5%); High: 14/510 (2.7%)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D1–D5: Human Review 1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Low: 277/510 (54.3%); Some concerns: 163/510 (32.0%); High: 70/510 (13.7%)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D1–D5: Human Review 2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Low: 346/510 (67.8%); Some concerns: 131/510 (25.7%); High: 33/510 (6.5%)</w:t>
            </w:r>
          </w:p>
        </w:tc>
      </w:tr>
      <w:tr>
        <w:trPr>
          <w:cantSplit/>
        </w:trPr>
        <w:tc>
          <w:tcPr>
            <w:gridSpan w:val="2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Reference categories are Low, Some concerns and High; each reference contributes 510 domain cells. Document counts are trials with each role recorded in the source inventory among 102 trials; roles can overlap. SAP, statistical analysis plan. Reference distributions and separate human reviewer agreement appear in the compact supplement.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2026-10-26T18:43:39Z</dcterms:modified>
  <cp:category/>
</cp:coreProperties>
</file>