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ARBITER supplementary methods and results</w:t>
      </w:r>
    </w:p>
    <w:p>
      <w:pPr>
        <w:pStyle w:val="ManuscriptBody"/>
      </w:pPr>
      <w:r>
        <w:t xml:space="preserve">Two independent expert references support the assessment of all trial domains. Tables follow the expected order of citation. All estimates are generated from the accompanying CSV files.</w:t>
      </w:r>
    </w:p>
    <w:p>
      <w:pPr>
        <w:pStyle w:val="ManuscriptBody"/>
      </w:pPr>
      <w:r>
        <w:t xml:space="preserve">eTable 1 Confusion matrices against each independent expert</w:t>
      </w:r>
    </w:p>
    <w:p>
      <w:pPr>
        <w:pStyle w:val="ManuscriptBody"/>
      </w:pPr>
      <w:r>
        <w:t xml:space="preserve">eTable 2 Full independent agreement and paired contrasts</w:t>
      </w:r>
    </w:p>
    <w:p>
      <w:pPr>
        <w:pStyle w:val="ManuscriptBody"/>
      </w:pPr>
      <w:r>
        <w:t xml:space="preserve">eTable 3 Forced choice on disputed cells</w:t>
      </w:r>
    </w:p>
    <w:p>
      <w:pPr>
        <w:pStyle w:val="ManuscriptBody"/>
      </w:pPr>
      <w:r>
        <w:t xml:space="preserve">eTable 4 Revised ratings and retained or changed answers</w:t>
      </w:r>
    </w:p>
    <w:p>
      <w:pPr>
        <w:pStyle w:val="ManuscriptBody"/>
      </w:pPr>
      <w:r>
        <w:t xml:space="preserve">eTable 5 Full signalling question agreement</w:t>
      </w:r>
    </w:p>
    <w:p>
      <w:pPr>
        <w:pStyle w:val="ManuscriptBody"/>
      </w:pPr>
      <w:r>
        <w:t xml:space="preserve">eTable 6 Rules only recomputation</w:t>
      </w:r>
    </w:p>
    <w:p>
      <w:pPr>
        <w:pStyle w:val="ManuscriptBody"/>
      </w:pPr>
      <w:r>
        <w:t xml:space="preserve">eTable 7 Agreed reference and paired contrasts</w:t>
      </w:r>
    </w:p>
    <w:p>
      <w:pPr>
        <w:pStyle w:val="ManuscriptBody"/>
      </w:pPr>
      <w:r>
        <w:t xml:space="preserve">eTable 8 Expert reliability</w:t>
      </w:r>
    </w:p>
    <w:p>
      <w:pPr>
        <w:pStyle w:val="ManuscriptBody"/>
      </w:pPr>
      <w:r>
        <w:t xml:space="preserve">eTable 9 Direction of disagreement against independent experts</w:t>
      </w:r>
    </w:p>
    <w:p>
      <w:pPr>
        <w:pStyle w:val="ManuscriptBody"/>
      </w:pPr>
      <w:r>
        <w:t xml:space="preserve">eTable 10 Primary endpoint sensitivities and post hoc strata</w:t>
      </w:r>
    </w:p>
    <w:p>
      <w:pPr>
        <w:pStyle w:val="ManuscriptBody"/>
      </w:pPr>
      <w:r>
        <w:t xml:space="preserve">eTable 11 Benchmark trials</w:t>
      </w:r>
    </w:p>
    <w:p>
      <w:pPr>
        <w:pStyle w:val="ManuscriptBody"/>
      </w:pPr>
      <w:r>
        <w:t xml:space="preserve">eTable 12 Published label agreement</w:t>
      </w:r>
    </w:p>
    <w:p>
      <w:pPr>
        <w:pStyle w:val="ManuscriptBody"/>
      </w:pPr>
      <w:r>
        <w:t xml:space="preserve">eTable 13 Unweighted agreement with published labels</w:t>
      </w:r>
    </w:p>
    <w:p>
      <w:pPr>
        <w:pStyle w:val="ManuscriptBody"/>
      </w:pPr>
      <w:r>
        <w:t xml:space="preserve">eTable 14 Rule consistency and audit</w:t>
      </w:r>
    </w:p>
    <w:p>
      <w:pPr>
        <w:pStyle w:val="ManuscriptBody"/>
      </w:pPr>
      <w:r>
        <w:t xml:space="preserve">eTable 15 Invalid answer path sensitivity</w:t>
      </w:r>
    </w:p>
    <w:p>
      <w:pPr>
        <w:pStyle w:val="ManuscriptBody"/>
      </w:pPr>
      <w:r>
        <w:t xml:space="preserve">eTable 16 Time cost and token use</w:t>
      </w:r>
    </w:p>
    <w:p>
      <w:pPr>
        <w:pStyle w:val="ManuscriptBody"/>
      </w:pPr>
      <w:r>
        <w:t xml:space="preserve">eTable 17 API cost estimates and reconstruction bounds</w:t>
      </w:r>
    </w:p>
    <w:p>
      <w:pPr>
        <w:pStyle w:val="ManuscriptBody"/>
      </w:pPr>
      <w:r>
        <w:t xml:space="preserve">eTable 18 Token reconciliation</w:t>
      </w:r>
    </w:p>
    <w:p>
      <w:pPr>
        <w:pStyle w:val="ManuscriptBody"/>
      </w:pPr>
      <w:r>
        <w:t xml:space="preserve">eTable 19 Evidence binding</w:t>
      </w:r>
    </w:p>
    <w:p>
      <w:pPr>
        <w:pStyle w:val="ManuscriptBody"/>
      </w:pPr>
      <w:r>
        <w:t xml:space="preserve">eTable 20 Derived Overall validation differences</w:t>
      </w:r>
    </w:p>
    <w:p>
      <w:pPr>
        <w:pStyle w:val="ManuscriptBody"/>
      </w:pPr>
      <w:r>
        <w:t xml:space="preserve">eTable 21 Evidence and quotation locations for the prior-work comparison</w:t>
      </w:r>
    </w:p>
    <w:p>
      <w:pPr/>
      <w:r>
        <w:br w:type="page"/>
      </w:r>
    </w:p>
    <w:p>
      <w:pPr>
        <w:pStyle w:val="Titre2"/>
      </w:pPr>
      <w:r>
        <w:t xml:space="preserve">Algorithms and validation</w:t>
      </w:r>
    </w:p>
    <w:p>
      <w:pPr>
        <w:pStyle w:val="ManuscriptBody"/>
      </w:pPr>
      <w:r>
        <w:t xml:space="preserve">The official 22 August 2019 RoB 2 algorithms were implemented for D1 randomisation, D2 deviations (effect of assignment), D3 missing outcome data, D4 outcome measurement and D5 selection of the reported result. Numbered questions map to the 22 exported signalling questions. Required NA or missing answers make a nonempty path invalid; absent labels or wholly absent answer sets are not evaluable. Overall is the worst domain judgement, with High permitted when at least two domains have Some concerns. The guidance was cross-checked with ARBITER 1.0.0 source (commit 2f549ae). Unit tests cover the decision paths and required-answer checks. Bundle proposals reproduce 510/510 domain outputs; no overrides were recorded. All required active answers in the ARBITER domain histories are present. Unassisted invalid-path sensitivity recursively resolves required invalid answers as N/PN, then NI; off-path answers are not imputed.</w:t>
      </w:r>
    </w:p>
    <w:p>
      <w:pPr>
        <w:pStyle w:val="Titre2"/>
      </w:pPr>
      <w:r>
        <w:t xml:space="preserve">API list-price reconstruction</w:t>
      </w:r>
    </w:p>
    <w:p>
      <w:pPr>
        <w:pStyle w:val="ManuscriptBody"/>
      </w:pPr>
      <w:r>
        <w:t xml:space="preserve">Costs are frozen-rate API list-price equivalents, not expenditure. USD rates per million tokens are: Sonnet input 2.00, 1-hour cache write 4.00, 5-minute write 2.50, cache read 0.10, output 10.00; Rates were frozen from the provider pricing documentation on 18 October 2026. Main-thread assistant events are deduplicated by message identity within turn; synthetic zero-usage events are excluded. Thinking tokens are included in output. Side calls are total recorded model usage minus terminal usage. One-hour side-call cache writes are primary; five-minute writes are a sensitivity. Reconstruction bounds coincide. Routing was global, with no geography multiplier. For each trial, equivalent US$ = (2 × input + 4 × 1-hour cache writes + 2.5 × 5-minute cache writes + 0.1 × cache reads + 10 × output tokens) / 1,000,000, summed over recorded model calls. Runs used a subscription; these equivalents are not subscription expenditure. Harness costs are unusable: unrecognised model and unknown cost basis; retained only as supplementary diagnostics.</w:t>
      </w:r>
    </w:p>
    <w:p>
      <w:pPr>
        <w:pStyle w:val="Titre2"/>
      </w:pPr>
      <w:r>
        <w:t xml:space="preserve">Evidence binding and verification</w:t>
      </w:r>
    </w:p>
    <w:p>
      <w:pPr>
        <w:pStyle w:val="ManuscriptBody"/>
      </w:pPr>
      <w:r>
        <w:t xml:space="preserve">Each distinct evidence identity cited in bases or counterevidence by current active answers is counted once per bundle; superseded histories are excluded. Visual records (figure kind or render field) take precedence over text spans. Text spans (narrative kind or quote/start/end fields) require a nonblank quote and source version, source identity matching a captured bundle source, finite page/start/end, and start less than end. Quotes are server-extracted spans cited by handle. Visual binding requires render source matching the record and a captured source, positive integer page, nonblank PNG hash, four finite region coordinates in [0,1] with ordered corners, and nonblank transcription. Images are server-rendered and hash-bound; transcriptions are model-written and are not machine-checked against the image. Unknown or missing records are other and unbound in the overall denominator. Empty bundles contribute no cited records. Trials using visual evidence use all 102 trials as denominator. These are structural checks, without PDF re-extraction or a judgement of whether a passage supports an answer. Bundle verification does not establish clinical correctness or completion. Unassisted evidence traces are not available.</w:t>
      </w:r>
    </w:p>
    <w:p>
      <w:pPr/>
      <w:r>
        <w:br w:type="page"/>
      </w:r>
    </w:p>
    <w:p>
      <w:pPr>
        <w:pStyle w:val="Titre2"/>
      </w:pPr>
      <w:r>
        <w:t xml:space="preserve">Inference</w:t>
      </w:r>
    </w:p>
    <w:p>
      <w:pPr>
        <w:pStyle w:val="ManuscriptBody"/>
      </w:pPr>
      <w:r>
        <w:t xml:space="preserve">All confidence intervals use stratified trial-cluster resampling within meta-analysis, 10000 replicates, percentile intervals and seed 20261018. Paired comparisons share weights. No p-values are used.</w:t>
      </w:r>
    </w:p>
    <w:p>
      <w:pPr>
        <w:pStyle w:val="Titre2"/>
      </w:pPr>
      <w:r>
        <w:t xml:space="preserve">Blinded expert assessment</w:t>
      </w:r>
    </w:p>
    <w:p>
      <w:pPr>
        <w:pStyle w:val="ManuscriptBody"/>
      </w:pPr>
      <w:r>
        <w:t xml:space="preserve">Two blinded human experts independently rated every trial domain, without AI, and froze their ratings and signalling answers before viewing labels. They then made a forced choice among three labels shown in random order without rationales, followed by a revised rating. Choice is scored by label; ties credit every matching source. Concordant cells are excluded from preference summaries. The primary estimate uses arm disagreements with equal choices. Revised ratings are descriptive.</w:t>
      </w:r>
    </w:p>
    <w:p>
      <w:pPr>
        <w:pStyle w:val="Titre2"/>
      </w:pPr>
      <w:r>
        <w:t xml:space="preserve">Independent reference and Overall</w:t>
      </w:r>
    </w:p>
    <w:p>
      <w:pPr>
        <w:pStyle w:val="ManuscriptBody"/>
      </w:pPr>
      <w:r>
        <w:t xml:space="preserve">Agreement is evaluated against each independent rating, the arithmetic mean of the two expert-specific estimates, and the agreed reference. Derived Overall is the worst independent domain rating; optional escalation is not imposed. The workbook validation separately records every difference in all available columns. Published Overall is compared only on observed labels (n = 81); 21 published reviews gave no Overall label and are excluded, never counted as disagreements. ARBITER and Unassisted use all trials (n = 102) and the same observed subset (n = 81). Every paired Overall contrast involving Published uses that subset (n = 81). Agreed-reference denominators are restricted further to equal expert ratings and printed on each row.</w:t>
      </w:r>
    </w:p>
    <w:p>
      <w:pPr/>
      <w:r>
        <w:br w:type="page"/>
      </w:r>
    </w:p>
    <w:p>
      <w:pPr>
        <w:pStyle w:val="Titre2"/>
      </w:pPr>
      <w:r>
        <w:t xml:space="preserve">Signalling question mapping and eligibility</w:t>
      </w:r>
    </w:p>
    <w:p>
      <w:pPr>
        <w:pStyle w:val="ManuscriptBody"/>
      </w:pPr>
      <w:r>
        <w:t xml:space="preserve">The ARBITER semantic question identifiers map one-to-one to the official numbered questions (eTable 5); Unassisted numeric identifiers already match the experts. Comparisons require explicit answers to the same question and component on both sides. Scalar answers are never broadcast across components. NA, inactive questions, missing answers, unmatched components and unresolved strings are not evaluable and are counted separately. Five-level matching distinguishes Y, PY, N, PN and NI. Collapsed matching combines Y/PY and N/PN; NI remains separate. Paired differences retain only components evaluable in both arms.</w:t>
      </w:r>
    </w:p>
    <w:p>
      <w:pPr>
        <w:pStyle w:val="Titre2"/>
      </w:pPr>
      <w:r>
        <w:t xml:space="preserve">Input parity and label targets</w:t>
      </w:r>
    </w:p>
    <w:p>
      <w:pPr>
        <w:pStyle w:val="ManuscriptBody"/>
      </w:pPr>
      <w:r>
        <w:t xml:space="preserve">Both arms received the same supplied articles, supplements, registry records and protocol or SAP files. The De Waal registry input belongs to a different trial. Published-label target bindings can be broad, inferred or mismatched; the benchmark and label-target tables document these categories.</w:t>
      </w:r>
    </w:p>
    <w:p>
      <w:pPr>
        <w:pStyle w:val="Titre2"/>
      </w:pPr>
      <w:r>
        <w:t xml:space="preserve">Design status and limitations</w:t>
      </w:r>
    </w:p>
    <w:p>
      <w:pPr>
        <w:pStyle w:val="ManuscriptBody"/>
      </w:pPr>
      <w:r>
        <w:t xml:space="preserve">The primary estimand and stratified trial bootstrap were prespecified. All new reference analyses were defined by the authors on 21 October 2026 after adjudication data collection; strictness strata and rules-only analyses are post hoc. There are only two experts, with modest agreement, especially in D3. Experts could consult sources beyond the arms’ inputs. Forced choice among three labels may anchor choices. Overall is derived rather than rated directly. System-level attribution, no structured-prompt comparator, a single run per arm, possible training exposure, unassessed quotation support, outcome mismatch and the De Waal input error limit interpretation.</w:t>
      </w:r>
    </w:p>
    <w:p>
      <w:pPr/>
      <w:r>
        <w:br w:type="page"/>
      </w:r>
    </w:p>
    <w:p>
      <w:pPr>
        <w:pStyle w:val="Titre2"/>
      </w:pPr>
      <w:r>
        <w:t xml:space="preserve">Published-label target matching</w:t>
      </w:r>
    </w:p>
    <w:p>
      <w:pPr>
        <w:pStyle w:val="ManuscriptBody"/>
      </w:pPr>
      <w:r>
        <w:t xml:space="preserve">The benchmark label-target documentation links each published label to its review, source table, outcome, time point and contrast, with quoted binding evidence where stated and an explicit inference otherwise. The assessment prompt targets the labelled result rather than automatically the trial primary outcome, with the definition, printed result and locator from the trial report. Among the 102 included trials, 33 targets match an explicitly stated result, 11 match one of several covered outcomes, and 32 match an inferred result; 7 partly match, 9 differ and 10 have unknown binding. These categories are retained rather than treating all targets as exact matches. Twelve published label sets (60 domain labels) cover every outcome taken from a trial; another 10 label sets (50 domain labels) have no identified result, and seven more label sets (35 domain labels) jointly cover pain and disability; thus 29 sets (145 domain labels) do not isolate a single result (19 broad and 10 unknown). Binding was inferred rather than explicitly stated for 62 label sets, overlapping these categories. The benchmark documentation and per-review binding evidence support these categories (eTable 11).</w:t>
      </w:r>
    </w:p>
    <w:p>
      <w:pPr>
        <w:pStyle w:val="Titre2"/>
      </w:pPr>
      <w:r>
        <w:t xml:space="preserve">Dates and training exposure</w:t>
      </w:r>
    </w:p>
    <w:p>
      <w:pPr>
        <w:pStyle w:val="ManuscriptBody"/>
      </w:pPr>
      <w:r>
        <w:t xml:space="preserve">Trial reports span publication years 1996–2025; the 16 source reviews were published in 2025–2026. Years come from the benchmark trial summaries and trial-label years where that field is blank (eTable 11); the benchmark documentation identifies the SANCTUARY report as 2025. Anthropic documents June 2026 as the training-data cut-off for claude-sonnet-5-5 (model documentation, https://platform.claude.com/docs/en/models/sonnet-5-5/overview, and provider help, https://support.claude.com/en/articles/8114494-how-up-to-date-is-claude-s-training-data; checked 19 October 2026). Dates cannot establish whether a report was used in training.</w:t>
      </w:r>
    </w:p>
    <w:p>
      <w:pPr/>
      <w:r>
        <w:br w:type="page"/>
      </w:r>
    </w:p>
    <w:p>
      <w:pPr>
        <w:pStyle w:val="Titre2"/>
      </w:pPr>
      <w:r>
        <w:t xml:space="preserve">eTable 1 Confusion matrices against each independent expert</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bl>
    <w:p>
      <w:pPr/>
      <w:r>
        <w:br w:type="page"/>
      </w:r>
    </w:p>
    <w:p>
      <w:pPr>
        <w:pStyle w:val="Titre2"/>
      </w:pPr>
      <w:r>
        <w:t xml:space="preserve">Confusion matrices against each independent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096"/>
        <w:gridCol w:w="1096"/>
        <w:gridCol w:w="1096"/>
        <w:gridCol w:w="1096"/>
        <w:gridCol w:w="1096"/>
        <w:gridCol w:w="1096"/>
        <w:gridCol w:w="1096"/>
        <w:gridCol w:w="1096"/>
        <w:gridCol w:w="10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Expert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Low</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Some Concerns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Missing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360" w:hRule="auto"/>
        </w:trPr>
        <w:tc>
          <w:tcPr>
            <w:gridSpan w:val="9"/>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Each source cell reports exact agreement n/N (%) and linearly weighted κ. Differences are ARBITER − Unassisted exact agreement in percentage points (95% CI). Overall uses the same 81 trials with observed Published Overall for every source; 21 published labels are missing and excluded. Agreed-reference Overall retains 42 of these trials. Mean of experts is the arithmetic mean of the two expert-specific estimates, not pooled independent observations; only percentages and κ are displayed for this row. Its difference is the mean of the two expert-specific paired differences; the CI is the percentile interval of their mean within each shared bootstrap replicate. The agreed reference retains cells with equal independent expert ratings (388 domain cells; 42 matched Overall trials). The expert-to-expert foot row compares the two independent ratings. Full estimates, all-trial Overall (102 trials; agreed reference 52) and all paired contrasts appear in eTable 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 Full independent agreement and paired contrasts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371/510 (72.7%) (69.8–75.5)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(0.45–0.56)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332/510 (65.1%) (62.2–68.0)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301/510 (59.0%) (55.9–62.2)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(0.16–0.26)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(0.69–0.92)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66/102 (64.7%) (57.8–71.6)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63/102 (61.8%) (52.9–70.6)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43/102 (42.2%) (34.3–49.0)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37/102 (36.3%) (28.4–44.1)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36/102 (35.3%) (28.4–42.2)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(0.09–0.20)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(0.35–0.70)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(0.19–0.52)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(69.6–83.3)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(0.06–0.38)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55/102 (53.9%) (46.1–61.8)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44/102 (43.1%) (37.3–49.0)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(30.4–46.1)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27/102 (26.5%) (18.6–34.3)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(0.09–0.21)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32/81 (39.5%) (30.9–48.1)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(0.11–0.29)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21/81 (25.9%) (17.3–34.6)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(0.07–0.19)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24/81 (29.6%) (22.2–37.0)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433/510 (84.9%) (82.2–87.5)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(0.63–0.75)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400/510 (78.4%) (75.1–81.6)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(0.45–0.60)</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362/510 (71.0%) (67.5–74.5)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(76.4–81.1)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 (0.55–0.65)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 (69.1–74.4)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(0.37–0.50)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65.0% (62.1–67.9)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(0.20–0.30)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(0.72–0.96)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(85.3–96.1)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(0.56–0.87)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(90.7–96.6)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(0.74–0.91)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 (87.7–95.1)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(0.64–0.86)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(0.23–0.54)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(0.25–0.65)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76/102 (74.5%) (67.6–81.4)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 (70.1–83.3)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 (66.2–77.5)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(0.09–0.44)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(61.3–75.0)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(0.59–0.79)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70/102 (68.6%) (61.8–75.5)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(0.38–0.63)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60.3% (54.4–66.2)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52.5% (46.1–58.8)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(0.25–0.45)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49.0% (43.1–54.9)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(80.4–92.2)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(0.45–0.75)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(0.32–0.64)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(0.14–0.45)</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 (80.4–89.7)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(0.42–0.70)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80.4% (75.0–85.3)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(71.1–83.3)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(0.11–0.40)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(0.53–0.78)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(61.8–78.4)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(0.33–0.61)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61/102 (59.8%) (52.9–66.7)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(0.14–0.38)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 (72.1–83.3)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(0.47–0.67)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62.3% (55.4–69.1)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(0.26–0.46)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(46.1–56.9)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(0.51–0.72)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(47.1–64.7)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(0.35–0.56)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60/81 (74.1%) (65.4–82.7)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46/81 (56.8%) (46.9–66.7)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(43.2–61.7)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(47.5–60.8)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(0.34–0.50)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 (34.3–48.0)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 (49.4–64.2)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(0.34–0.52)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 (33.3–49.4)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(0.22–0.38)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40.7% (34.0–48.1)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349/388 (89.9%) (87.2–92.5)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313/388 (80.7%) (77.6–83.7)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(0.49–0.65)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281/388 (72.4%) (68.9–76.1)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(0.24–0.39)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87/89 (97.8%) (94.5–100.0)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(0.79–1.00)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74/89 (83.1%) (77.2–88.8)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(0.25–0.63)</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(81.0–93.9)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(0.22–0.75)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65/81 (80.2%) (73.3–87.2)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(0.00 to 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(−0.12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 (77.8%) (68.5–86.8)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(0.61–0.84)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35/54 (64.8%) (53.8–75.9)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(0.35–0.68)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32/54 (59.3%) (48.9–70.2)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(0.17–0.46)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79/85 (92.9%) (88.0–97.6)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(0.53–0.90)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74/85 (87.1%) (80.9–92.9)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(0.24–0.68)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72/85 (84.7%) (77.9–91.5)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(0.14–0.58)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68/79 (86.1%) (78.9–92.7)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52/79 (65.8%) (56.6–75.0)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(0.28–0.54)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42/79 (53.2%) (46.2–60.3)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35/52 (67.3%) (55.3–78.7)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0.58 (0.43–0.72)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25/52 (48.1%) (35.4–60.4)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(0.26–0.52)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30/42 (71.4%) (58.5–83.3)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(0.37–0.74)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21/42 (50.0%) (35.0–64.1)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20/42 (47.6%) (34.1–61.4)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(5.1–10.2)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(0.10–0.22)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(10.6–16.9)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(0.21–0.61)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(2.0–17.6)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(0.05–0.50)</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(−4.9 to 10.8)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(−0.12 to 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(0.0–11.8)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(0.0–13.7)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(−6.9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(−0.05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(0.00–0.34)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 to 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(0.14–0.32)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(22.5–38.2)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(0.22–0.43)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(6.2–21.0)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 to 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(−14.8 to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 (3.5–9.4)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 (10.8–17.1)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(0.33–0.47)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 (4.1–10.6)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(0.15–0.33)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(11.2–16.5)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 (4.0–9.6)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(0.28–0.68)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(0.14–0.57)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 to 0.19)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(9.8–19.6)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(0.28–0.62)</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(7.8–18.6)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(−3.9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 to 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(−1.0 to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(0.10–0.62)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(−2.9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(0.02–0.51)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(0.03–0.30)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(1.5–15.7)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(0.11–0.53)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(−3.4 to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 to 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(0.27–0.51)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(−2.0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(0.03–0.39)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(0.17–0.36)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 (−3.4 to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(0.00 to 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(−0.02 to 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(3.4–12.7)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(−2.5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(2.9–20.6)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 (13.7–31.4)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(0.06–0.36)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(0.11–0.31)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 (19.1–33.8)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(0.24–0.48)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(3.4–17.6)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(5.9–22.5)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(0.07–0.26)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 (8.6–25.9)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(−7.4 to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 to 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 (6.4–19.6)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(8.0–22.8)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(6.8–25.3)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 (−9.3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(−0.04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 (6.3–12.2)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 (14.1–20.9)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(0.40–0.56)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(4.8–11.7)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(0.37–0.75)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(8.8–20.7)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 (1.3–13.3)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 (3.8–20.8)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(0.14–0.76)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(−4.1 to 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(−0.06 to 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(3.7–22.6)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(0.08–0.37)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(7.8–29.1)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(−7.0 to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 to 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(0.02–0.52)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(3.4–14.0)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(0.15–0.59)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(−3.6 to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(−0.18 to 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 (11.9–28.6)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(0.19–0.44)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 (23.8–41.9)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(0.34–0.63)</w:t>
            </w:r>
          </w:p>
        </w:tc>
      </w:tr>
    </w:tbl>
    <w:p>
      <w:pPr/>
      <w:r>
        <w:br w:type="page"/>
      </w:r>
    </w:p>
    <w:p>
      <w:pPr>
        <w:pStyle w:val="Titre2"/>
      </w:pPr>
      <w:r>
        <w:t xml:space="preserve">Full independent agreement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(3.7–21.5)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 (7.0–31.4)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(7.5–35.0)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(7.0–40.0)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(0.11–0.52)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(−16.3 to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388/510 (76.1%) (73.1–78.8)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(0.54–0.64)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(81.4–93.1)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(0.53–0.83)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(71.6–86.3)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(0.32–0.64)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54/102 (52.9%) (46.1–60.8)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(0.35–0.52)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85/102 (83.3%) (77.5–89.2)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(0.47–0.75)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Expert-to-expert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(44.1–57.8)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(0.26–0.44)</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Each source cell reports exact agreement n/N (%) and linearly weighted κ. Differences are ARBITER − Unassisted exact agreement in percentage points (95% CI). Overall uses the same 81 trials with observed Published Overall for every source; 21 published labels are missing and excluded. Agreed-reference Overall retains 42 of these trials. Mean of experts is the arithmetic mean of the two expert-specific estimates, not pooled independent observations; only percentages and κ are displayed for this row. Its difference is the mean of the two expert-specific paired differences; the CI is the percentile interval of their mean within each shared bootstrap replicate. The agreed reference retains cells with equal independent expert ratings (388 domain cells; 42 matched Overall trials). The expert-to-expert foot row compares the two independent ratings. Full estimates, all-trial Overall (102 trials; agreed reference 52) and all paired contrasts appear in eTable 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Unweighted agreement with each expert</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(0.73–0.97)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(0.65–0.90)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(0.59–0.87)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(0.17–0.45)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(0.22–0.60)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(−0.08 to 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(−0.09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(0.10–0.49)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(0.10–0.26)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(0.50–0.72)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(0.04–0.16)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(0.18–0.38)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(0.29–0.53)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(0.32–0.68)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0.56 (0.39–0.71)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(0.03–0.37)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(0.08–0.42)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(0.13–0.43)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bl>
    <w:p>
      <w:pPr/>
      <w:r>
        <w:br w:type="page"/>
      </w:r>
    </w:p>
    <w:p>
      <w:pPr>
        <w:pStyle w:val="Titre2"/>
      </w:pPr>
      <w:r>
        <w:t xml:space="preserve">Unweighted agreement with each expert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0.65 (0.52–0.78)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(0.10–0.20)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(0.17–0.34)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(0.31–0.59)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(0.03–0.22)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(0.42–0.66)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(−0.01 to 0.14)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(0.26–0.47)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(0.02–0.23)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(0.46–0.72)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(0.19–0.43)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(−0.02 to 0.13)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(0.27–0.51)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confidence interval; 10,000 percentile bootstrap replicates, trials resampled within meta-analysis; seed 20261018.</w:t>
            </w:r>
          </w:p>
        </w:tc>
      </w:tr>
    </w:tbl>
    <w:p>
      <w:pPr/>
      <w:r>
        <w:br w:type="page"/>
      </w:r>
    </w:p>
    <w:p>
      <w:pPr>
        <w:pStyle w:val="Titre2"/>
      </w:pPr>
      <w:r>
        <w:t xml:space="preserve">eTable 3 Forced choice on disputed cells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38/154 (24.7%)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128/154 (83.1%)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78/154 (50.6%)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41/154 (26.6%)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131/154 (85.1%)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89/154 (57.8%)</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3.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4 Revised ratings and retained or changed answers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Independent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Revised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50/510 (9.8%)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16/510 (3.1%)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273/510 (53.5%)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10/510 (2.0%)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153/510 (30.0%)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27/510 (5.3%)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2/510 (0.4%)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 (0.8%)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1/510 (0.2%)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335/510 (65.7%)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10/510 (2.0%)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11/510 (2.2%)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120/510 (23.5%)</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4.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Retained and changed signalling answers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Change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Share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changed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76/2244 (3.4%)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8/2244 (0.4%)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retained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2160/2244 (96.3%)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changed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53/2244 (2.4%)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mixed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1/2244 (0.0%)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retained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2190/2244 (97.6%)</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Counts use original workbook question rows, including mixed component changes.</w:t>
            </w:r>
          </w:p>
        </w:tc>
      </w:tr>
    </w:tbl>
    <w:p>
      <w:pPr/>
      <w:r>
        <w:br w:type="page"/>
      </w:r>
    </w:p>
    <w:p>
      <w:pPr>
        <w:pStyle w:val="Titre2"/>
      </w:pPr>
      <w:r>
        <w:t xml:space="preserve">eTable 5 Full signalling question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890/1507 (59.1%; 56.7–61.4)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1212/1507 (80.4%; 79.1–81.8)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685/1417 (48.3%; 46.2–50.5)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1062/1417 (74.9%; 73.4–76.5)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208/306 (68.0%; 63.4–72.2)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266/306 (86.9%; 84.0–89.9)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187/303 (61.7%; 56.4–67.0)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257/303 (84.8%; 81.2–88.3)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244/362 (67.4%; 62.2–72.4)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306/362 (84.5%; 81.0–87.8)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201/353 (56.9%; 51.8–62.0)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292/353 (82.7%; 79.2–86.0)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69/198 (34.8%; 29.2–40.3)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139/198 (70.2%; 65.1–74.7)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73/168 (43.5%; 37.2–49.4)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99/168 (58.9%; 51.9–65.3)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205/339 (60.5%; 55.8–65.1)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319/339 (94.1%; 92.1–96.0)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153/292 (52.4%; 48.2–56.5)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266/292 (91.1%; 88.4–93.7)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164/302 (54.3%; 50.2–58.5)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182/302 (60.3%; 56.4–64.2)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71/301 (23.6%; 19.3–28.0)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148/301 (49.2%; 45.0–53.5)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68.6–83.3)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95/102 (93.1%; 88.2–97.1)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64.0–80.4)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92/101 (91.1%; 85.9–96.0)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60/101 (59.4%; 50.5–68.3)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90/101 (89.1%; 83.2–94.1)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48.0–63.7)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69.6–81.4)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75/101 (74.3%; 68.0–80.2)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82.4–93.1)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47/101 (46.5%; 38.0–55.0)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89/101 (88.1%; 82.4–93.1)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65.7–80.4)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90/102 (88.2%; 83.3–93.1)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53/102 (52.0%; 44.1–59.8)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81.4–91.2)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36/46 (78.3%; 66.7–88.9)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36/46 (78.3%; 66.7–88.9)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34/42 (81.0%; 70.0–91.1)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34/42 (81.0%; 70.0–91.1)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56/100 (56.0%; 47.5–64.6)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84/100 (84.0%; 77.8–89.9)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64/99 (64.6%; 57.0–72.2)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77/99 (77.8%; 71.7–83.7)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 (41.7%; 15.4–69.2)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6/12 (50.0%; 25.0–76.9)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(33.3%; 0.0–62.5)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(44.4%; 12.5–76.9)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27/98 (27.6%; 20.2–35.1)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59/98 (60.2%; 53.1–67.0)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39/97 (40.2%; 33.0–47.9)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50/97 (51.5%; 43.8–59.1)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6/36 (16.7%; 5.6–29.0)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34/36 (94.4%; 86.8–100.0)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17/31 (54.8%; 38.9–70.0)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63.0–90.6)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23/33 (69.7%; 54.5–83.3)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32/33 (97.0%; 90.6–100.0)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 (42.9%; 23.1–62.5)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17/21 (81.0%; 63.6–95.5)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13/31 (41.9%; 25.8–59.4)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14/31 (45.2%; 29.4–62.2)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8/19 (42.1%; 22.7–62.5)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8/19 (42.1%; 22.7–62.5)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42/101 (41.6%; 33.3–49.5)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82/101 (81.2%; 75.5–86.3)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78/101 (77.2%; 71.7–82.4)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101/101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29/101 (28.7%; 22.0–35.3)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100/101 (99.0%; 97.0–100.0)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58/100 (58.0%; 49.5–66.7)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83/100 (83.0%; 77.0–89.0)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35/68 (51.5%; 41.3–61.8)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53/68 (77.9%; 69.6–85.9)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17/25 (68.0%; 50.0–84.6)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24/25 (96.0%; 87.5–100.0)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5/16 (31.2%; 9.1–53.3)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10/16 (62.5%; 42.1–82.4)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(33.3%; 0.0–75.0)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 (33.3%; 0.0–75.0)</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65/101 (64.4%; 56.4–72.3)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65.3–79.0)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37/101 (36.6%; 28.4–45.1)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54/101 (53.5%; 45.5–61.8)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56/100 (56.0%; 48.0–64.0)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64/100 (64.0%; 56.6–71.3)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25/99 (25.3%; 18.2–32.3)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57/99 (57.6%; 50.5–64.9)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43/101 (42.6%; 35.6–49.5)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45/101 (44.6%; 37.6–51.5)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9/101 (8.9%; 4.0–14.1)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37/101 (36.6%; 30.7–42.6)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997/1501 (66.4%; 64.1–68.6)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1365/1501 (90.9%; 89.5–92.3)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848/1414 (60.0%; 57.5–62.6)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1236/1414 (87.4%; 85.8–89.0)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235/306 (76.8%; 72.5–81.0)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298/306 (97.4%; 95.8–98.7)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207/303 (68.3%; 63.1–73.3)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283/303 (93.4%; 90.7–96.0)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272/360 (75.6%; 71.2–79.8)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320/360 (88.9%; 85.4–92.0)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217/352 (61.6%; 57.0–66.5)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310/352 (88.1%; 85.3–90.8)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104/194 (53.6%; 47.1–59.9)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175/194 (90.2%; 86.5–93.7)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87/166 (52.4%; 45.3–59.0)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133/166 (80.1%; 73.9–85.6)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198/340 (58.2%; 53.3–63.1)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321/340 (94.4%; 92.4–96.4)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171/293 (58.4%; 53.3–63.3)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271/293 (92.5%; 89.8–95.1)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188/301 (62.5%; 57.9–67.0)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251/301 (83.4%; 79.6–87.0)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166/300 (55.3%; 49.2–61.6)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239/300 (79.7%; 75.6–83.8)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71.6–86.3)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64.0–80.2)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96/101 (95.0%; 91.1–98.0)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70.6–85.3)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99/102 (97.1%; 94.1–100.0)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61/101 (60.4%; 51.5–69.3)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90/101 (89.1%;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74/102 (72.5%; 64.7–80.4)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100/102 (98.0%; 95.1–100.0)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73/101 (72.3%; 64.4–80.0)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97/101 (96.0%; 92.2–99.0)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92/102 (90.2%; 85.3–95.1)</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53/101 (52.5%; 44.4–60.8)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91/101 (90.1%; 85.1–94.9)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87.3–94.1)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52/102 (51.0%; 44.1–58.8)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85.3–92.2)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41/47 (87.2%; 78.3–95.7)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41/47 (87.2%; 78.3–95.7)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38/42 (90.5%; 82.6–97.6)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38/42 (90.5%; 82.6–97.6)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66/100 (66.0%; 58.2–73.7)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86/100 (86.0%; 79.4–92.0)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70/99 (70.7%; 63.4–77.8)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85/99 (85.9%; 80.4–91.0)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 (88.9%; 66.7–100.0)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(50.0%; 16.7–85.7)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 (62.5%; 25.0–100.0)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52/96 (54.2%; 45.3–62.9)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86/96 (89.6%; 84.4–94.7)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44/95 (46.3%; 38.0–54.5)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75/95 (78.9%; 72.0–85.6)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8/35 (22.9%; 10.3–36.7)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33/35 (94.3%; 86.2–100.0)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17/30 (56.7%; 40.7–71.4)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24/30 (80.0%; 66.7–92.9)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22/32 (68.8%; 53.1–82.9)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32/32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31.2–72.7)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22/31 (71.0%; 54.8–85.7)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24/31 (77.4%; 63.0–90.6)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15/20 (75.0%; 55.0–92.0)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16/20 (80.0%; 61.1–95.0)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50/102 (49.0%; 40.2–57.8)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60/102 (58.8%; 51.0–66.7)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102/102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48/102 (47.1%; 39.2–55.9)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101/102 (99.0%; 97.1–100.0)</w:t>
            </w:r>
          </w:p>
        </w:tc>
      </w:tr>
    </w:tbl>
    <w:p>
      <w:pPr/>
      <w:r>
        <w:br w:type="page"/>
      </w:r>
    </w:p>
    <w:p>
      <w:pPr>
        <w:pStyle w:val="Titre2"/>
      </w:pPr>
      <w:r>
        <w:t xml:space="preserve">Full signalling question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63/99 (63.6%; 55.6–71.7)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83/99 (83.8%; 78.0–89.8)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36/67 (53.7%; 43.3–64.1)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56/67 (83.6%; 75.7–91.0)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15/25 (60.0%; 43.5–75.0)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24/25 (96.0%; 87.5–100.0)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5/17 (29.4%; 11.1–50.0)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9/17 (52.9%; 33.3–75.0)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10/12 (83.3%; 60.0–100.0)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(60.0%;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(60.0%; 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55/101 (54.5%; 46.0–63.4)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72/101 (71.3%; 63.0–79.2)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49/101 (48.5%; 39.2–57.8)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64/101 (63.4%; 54.9–71.7)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62/99 (62.6%; 55.0–70.1)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92/99 (92.9%; 88.0–97.0)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59/98 (60.2%; 51.5–69.0)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86/98 (87.8%; 81.8–93.6)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71/101 (70.3%; 62.7–77.5)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87/101 (86.1%; 80.0–92.1)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58/101 (57.4%; 48.5–66.3)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89/101 (88.1%; 82.2–94.0)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5.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Five-level disagreement types (eTable 5)</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 Level Disagreements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Within 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Cross Direction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 evaluable answers for each source and expert. Within-direction: Y↔PY or N↔PN. Cross-direction: disagreements between Y/PY, N/PN or NI. The two counts partition five-level disagreements; N includes agreements.</w:t>
            </w:r>
          </w:p>
        </w:tc>
      </w:tr>
    </w:tbl>
    <w:p>
      <w:pPr/>
      <w:r>
        <w:br w:type="page"/>
      </w:r>
    </w:p>
    <w:p>
      <w:pPr>
        <w:pStyle w:val="Titre2"/>
      </w:pPr>
      <w:r>
        <w:t xml:space="preserve">Paired signalling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(8.1–13.9)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(3.6–6.4)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 (0.3–12.0)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 (3.4–16.5)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(−1.1 to 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 (−17.2 to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 (3.5–13.7)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 (1.4–15.9)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 (1.4–6.2)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30.9 (24.8–36.7)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(8.2–14.6)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(−5.1 to 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(−1.0 to 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11.9 (2.0–22.5)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(−2.0 to 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(−5.9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(12.0–35.0)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(−2.0 to 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(11.8–31.4)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(−14.3 to 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(−14.3 to 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(−17.3 to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(−100.0 to 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(−100.0 to 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−12.4 (−22.6 to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(2.1–14.7)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−42.9 (−63.6 to −19.2)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(14.3–54.5)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19.0 (4.5–36.4)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(−19.0 to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(−19.0 to 20.0)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−39.6 (−51.0 to −27.7)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48.5 (37.6–58.8)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10.3 (−3.3 to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 (−1.5 to 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46.7 (13.3–76.9)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33.3 (7.1–58.3)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(0.0–100.0)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40.0 (0.0–100.0)</w:t>
            </w:r>
          </w:p>
        </w:tc>
      </w:tr>
    </w:tbl>
    <w:p>
      <w:pPr/>
      <w:r>
        <w:br w:type="page"/>
      </w:r>
    </w:p>
    <w:p>
      <w:pPr>
        <w:pStyle w:val="Titre2"/>
      </w:pPr>
      <w:r>
        <w:t xml:space="preserve">Paired signalling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27.7 (16.8–38.2)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 (11.0–26.0)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31.3 (21.4–41.4)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(3.0–12.1)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33.7 (26.3–41.2)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 (2.8–10.2)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 (1.9–4.7)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 (3.3–14.5)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(2.0–6.3)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(7.0–20.3)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 (−2.8 to 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(−9.9 to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(2.8–13.6)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 (−9.4 to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(0.7–5.5)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 (−1.3 to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(−0.3 to 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(−3.9 to 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(−1.0 to 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17.8 (7.8–28.0)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(3.0–12.9)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(−8.1 to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 (13.9–35.3)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(−2.0 to 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 (18.6–38.2)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(−17.1 to 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 (−17.1 to 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(−14.3 to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(−6.2 to 8.2)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(−60.0 to 60.0)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(−60.0 to 60.0)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 (−4.1 to 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10.5 (4.3–17.0)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−35.7 (−59.3 to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(0.0–16.1)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(−4.5 to 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14.3 (0.0–30.0)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−15.0 (−38.1 to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(−31.8 to 12.5)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−28.4 (−42.2 to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(−3.9 to 27.5)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(0.0–2.9)</w:t>
            </w:r>
          </w:p>
        </w:tc>
      </w:tr>
    </w:tbl>
    <w:p>
      <w:pPr/>
      <w:r>
        <w:br w:type="page"/>
      </w:r>
    </w:p>
    <w:p>
      <w:pPr>
        <w:pStyle w:val="Titre2"/>
      </w:pPr>
      <w:r>
        <w:t xml:space="preserve">Paired signalling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Group</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Five-Level Exact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Collapsed Exact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 (−3.3 to 24.6)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(−7.0 to 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50.0 (21.4–76.9)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43.8 (23.1–65.0)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(−5.9 to 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(−1.0 to 16.0)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(−9.7 to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 (0.0–10.3)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12.9 (1.0–25.5)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(−7.8 to 4.0)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CI, confidence interval; 10,000 percentile bootstrap replicates, trials resampled within meta-analysis; seed 20261018.</w:t>
            </w:r>
          </w:p>
        </w:tc>
      </w:tr>
    </w:tbl>
    <w:p>
      <w:pPr/>
      <w:r>
        <w:br w:type="page"/>
      </w:r>
    </w:p>
    <w:p>
      <w:pPr>
        <w:pStyle w:val="Titre2"/>
      </w:pPr>
      <w:r>
        <w:t xml:space="preserve">Signalling comparison eligibility</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168</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r>
    </w:tbl>
    <w:p>
      <w:pPr/>
      <w:r>
        <w:br w:type="page"/>
      </w:r>
    </w:p>
    <w:p>
      <w:pPr>
        <w:pStyle w:val="Titre2"/>
      </w:pPr>
      <w:r>
        <w:t xml:space="preserve">Signalling comparison eligibility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Evaluable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Reason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Arm question inactive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Not applicable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Component not matched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Evaluable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300</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r>
        <w:br w:type="page"/>
      </w:r>
    </w:p>
    <w:p>
      <w:pPr>
        <w:pStyle w:val="Titre2"/>
      </w:pPr>
      <w:r>
        <w:t xml:space="preserve">eTable 6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88.3% (79.7–96.3)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13.3% (6.2–21.0)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 (0.0–5.0)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(70.4–86.9)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(9.7–23.3)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(3.7–13.9)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(67.6–84.5)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(16.1–31.6)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(0.0–6.1)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66.2% (58.0–74.6)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(4.6–16.0)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26.2% (19.0–33.7)</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6. CI, confidence interval; 10,000 percentile bootstrap replicates, trials resampled within meta-analysis; seed 20261018. n = 60 for equal choices; n = 80 for expert-specific and split-sensitivity rows. Label ties credit both arms, so preference counts can overlap. SC, Some concerns; NI, no information; NA, not applicable. Counts and denominators refer to the named cells or answers.</w:t>
            </w:r>
          </w:p>
        </w:tc>
      </w:tr>
    </w:tbl>
    <w:p>
      <w:pPr/>
      <w:r>
        <w:br w:type="page"/>
      </w:r>
    </w:p>
    <w:p>
      <w:pPr>
        <w:pStyle w:val="Titre2"/>
      </w:pPr>
      <w:r>
        <w:t xml:space="preserve">Independent agreement after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371/510 (72.7%) (69.8–75.5)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0.51 (0.45–0.56)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324/510 (63.5%) (60.4–66.7)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(0.28–0.40)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301/510 (59.0%) (55.9–62.2)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(0.16–0.26)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94/102 (92.2%) (87.3–96.1)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(0.69–0.92)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(0.56–0.85)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(0.23–0.57)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(63.7–79.4)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(0.24–0.53)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67/102 (65.7%) (58.8–72.5)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(0.05–0.38)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63/102 (61.8%) (52.9–70.6)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(−0.03 to 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43/102 (42.2%) (34.3–49.0)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40/102 (39.2%) (31.4–47.1)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36/102 (35.3%) (28.4–42.2)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(0.09–0.20)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(0.35–0.70)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79/102 (77.5%) (70.6–83.3)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78/102 (76.5%) (69.6–83.3)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(0.06–0.38)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47/102 (46.1%) (38.2–53.9)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44/102 (43.1%) (37.3–49.0)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39/102 (38.2%) (30.4–46.1)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27/102 (26.5%) (18.6–34.3)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(0.09–0.21)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32/81 (39.5%) (30.9–48.1)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(0.11–0.29)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21/81 (25.9%) (17.3–34.6)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(0.07–0.19)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24/81 (29.6%) (22.2–37.0)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(0.04–0.18)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433/510 (84.9%) (82.2–87.5)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(0.63–0.75)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391/510 (76.7%) (73.3–79.8)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(0.42–0.57)</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362/510 (71.0%) (67.5–74.5)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(0.22–0.35)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(76.4–81.1)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0.60 (0.55–0.65)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70.1% (67.3–72.9)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(0.36–0.48)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65.0% (62.1–67.9)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(0.20–0.30)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97/102 (95.1%) (91.2–99.0)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0.86 (0.72–0.96)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89/102 (87.3%) (81.4–93.1)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(0.43–0.78)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(72.5–85.3)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93.6% (90.7–96.6)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(0.74–0.91)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88.2% (83.3–93.1)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(0.51–0.80)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(0.23–0.54)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(0.25–0.65)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(73.5–85.3)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(0.14–0.54)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76/102 (74.5%) (67.6–81.4)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 to 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77.0% (70.1–83.3)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72.5% (67.2–77.9)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(0.11–0.45)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 (61.3–75.0)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(−0.03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(0.59–0.79)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(0.40–0.66)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64/102 (62.7%) (55.9–69.6)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60.3% (54.4–66.2)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(0.41–0.56)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(48.0–60.8)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(0.28–0.48)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49.0% (43.1–54.9)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88/102 (86.3%) (80.4–92.2)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0.61 (0.45–0.75)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(73.5–86.3)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(0.20–0.56)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80/102 (78.4%) (71.6–85.3)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(0.14–0.45)</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85.3% (80.4–89.7)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(0.42–0.70)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78.9% (73.5–84.3)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(0.19–0.50)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(71.1–83.3)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(0.11–0.40)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(75.5–89.2)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(0.53–0.78)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68/102 (66.7%) (57.8–75.5)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0.45 (0.32–0.58)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61/102 (59.8%) (52.9–66.7)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(0.14–0.38)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77.9% (72.1–83.3)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(0.47–0.67)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56.4% (49.0–63.7)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(0.24–0.42)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51.5% (46.1–56.9)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(0.14–0.28)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(62.7–78.4)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(0.51–0.72)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57/102 (55.9%) (47.1–64.7)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(0.35–0.56)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60/81 (74.1%) (65.4–82.7)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0.66 (0.55–0.77)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46/81 (56.8%) (46.9–66.7)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0.47 (0.36–0.58)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(43.2–61.7)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(0.26–0.50)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54.4% (47.5–60.8)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(0.34–0.50)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41.2% (34.3–48.0)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56.8% (49.4–64.2)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(0.34–0.52)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41.4% (33.3–49.4)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(0.22–0.38)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40.7% (34.0–48.1)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(0.16–0.33)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349/388 (89.9%) (87.2–92.5)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(0.73–0.85)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307/388 (79.1%) (75.7–82.4)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(0.47–0.63)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281/388 (72.4%) (68.9–76.1)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(0.24–0.39)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89/89 (100.0%) (100.0–100.0)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 (1.00–1.00)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84/89 (94.4%) (89.9–98.8)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0.80 (0.64–0.95)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74/89 (83.1%) (77.2–88.8)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(0.25–0.63)</w:t>
            </w:r>
          </w:p>
        </w:tc>
      </w:tr>
    </w:tbl>
    <w:p>
      <w:pPr/>
      <w:r>
        <w:br w:type="page"/>
      </w:r>
    </w:p>
    <w:p>
      <w:pPr>
        <w:pStyle w:val="Titre2"/>
      </w:pPr>
      <w:r>
        <w:t xml:space="preserve">Independent agreement after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71/81 (87.7%) (81.0–93.9)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0.52 (0.22–0.75)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66/81 (81.5%) (75.0–88.0)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(0.01–0.58)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(67.1–83.1)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(−0.12 to 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 (77.8%) (68.5–86.8)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0.73 (0.61–0.84)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37/54 (68.5%) (57.4–79.6)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(0.39–0.73)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32/54 (59.3%) (48.9–70.2)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(0.17–0.46)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79/85 (92.9%) (88.0–97.6)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0.74 (0.53–0.90)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73/85 (85.9%) (79.5–91.9)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(0.19–0.64)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72/85 (84.7%) (77.9–91.5)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(0.14–0.58)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68/79 (86.1%) (78.9–92.7)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0.72 (0.58–0.85)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47/79 (59.5%) (50.0–68.8)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(0.25–0.48)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42/79 (53.2%) (46.2–60.3)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35/52 (67.3%) (55.3–78.7)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0.58 (0.43–0.72)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25/52 (48.1%) (35.4–60.4)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(0.26–0.52)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30/42 (71.4%) (58.5–83.3)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(0.37–0.74)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21/42 (50.0%) (35.0–64.1)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20/42 (47.6%) (34.1–61.4)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(0.10–0.41)</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CI, confidence interval; 10,000 percentile bootstrap replicates, trials resampled within meta-analysis; seed 20261018.</w:t>
            </w:r>
          </w:p>
        </w:tc>
      </w:tr>
    </w:tbl>
    <w:p>
      <w:pPr/>
      <w:r>
        <w:br w:type="page"/>
      </w:r>
    </w:p>
    <w:p>
      <w:pPr>
        <w:pStyle w:val="Titre2"/>
      </w:pPr>
      <w:r>
        <w:t xml:space="preserve">Cells changed by rules only recomputation</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Discordant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castoldi-2020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ibrahim-2017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levin-2016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boedt-2023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bl>
    <w:p>
      <w:pPr/>
      <w:r>
        <w:br w:type="page"/>
      </w:r>
    </w:p>
    <w:p>
      <w:pPr>
        <w:pStyle w:val="Titre2"/>
      </w:pPr>
      <w:r>
        <w:t xml:space="preserve">Cells changed by rules only recomputation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Recomputed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Discordant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Consensus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attal-2021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award-chn3-2023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chiba-2021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dian-2018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grant-2017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jindani-2016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stopdapt-3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sung-2020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TRUE</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r>
    </w:tbl>
    <w:p>
      <w:pPr/>
      <w:r>
        <w:br w:type="page"/>
      </w:r>
    </w:p>
    <w:p>
      <w:pPr>
        <w:pStyle w:val="Titre2"/>
      </w:pPr>
      <w:r>
        <w:t xml:space="preserve">eTable 7 Agreed reference and paired contrasts</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(5.1–10.2)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(0.10–0.22)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(10.6–16.9)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(0.23–0.37)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 (2.9–9.0)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(−3.9 to 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(−0.09 to 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0.41 (0.21–0.61)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13.7% (6.9–20.6)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(0.17–0.59)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(1.0–12.7)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(2.0–17.6)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(0.05–0.50)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(−4.9 to 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(−0.12 to 0.28)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(0.0–11.8)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(0.02–0.16)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 (0.0–13.7)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(−6.9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0.05 (−0.05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(0.00–0.34)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(−3.9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 to 0.33)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19.6% (11.8–27.5)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0.23 (0.14–0.32)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(22.5–38.2)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(0.22–0.43)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(0.02–0.18)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13.6% (6.2–21.0)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(0.01–0.13)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9.9% (−1.2 to 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 to 0.18)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 (−14.8 to 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 (3.5–9.4)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(0.09–0.23)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13.9% (10.8–17.1)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(0.33–0.47)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 (4.1–10.6)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 (0.15–0.33)</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 (4.8–9.4)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(0.11–0.22)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13.8% (11.2–16.5)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(0.29–0.41)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6.8% (4.0–9.6)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(0.11–0.27)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(0.02–0.25)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(0.28–0.68)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(4.9–18.6)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(0.14–0.57)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0.08 (−0.01 to 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(9.8–19.6)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(0.28–0.62)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(7.8–18.6)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(0.19–0.55)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(−3.9 to 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 to 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(−1.0 to 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(0.10–0.62)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(−2.9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(0.02–0.51)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(0.03–0.30)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(1.5–15.7)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0.33 (0.11–0.53)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(−3.4 to 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(−0.03 to 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9.8% (2.9–16.7)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0.18 (0.07–0.30)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(0.27–0.51)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(−2.0 to 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(0.03–0.39)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(0.06–0.22)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11.3% (5.4–17.2)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0.27 (0.17–0.36)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 (−3.4 to 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(0.00–0.26)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 (−1.0 to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(0.00 to 0.37)</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(0.5–9.8)</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0.14 (−0.02 to 0.31)</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(3.4–12.7)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(−2.5 to 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(−0.02 to 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 (2.9–20.6)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(0.03–0.35)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22.5% (13.7–31.4)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0.40 (0.23–0.56)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(2.9–18.6)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(0.06–0.36)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15.7% (8.8–22.5)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(0.11–0.31)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26.5% (19.1–33.8)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0.36 (0.24–0.48)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10.8% (3.4–17.6)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0.15 (0.05–0.26)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14.7% (5.9–22.5)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0.17 (0.07–0.26)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17.3% (8.6–25.9)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22.2% (11.1–33.3)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(0.15–0.42)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(−7.4 to 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(−0.04 to 0.23)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13.2% (6.4–19.6)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(0.05–0.19)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15.4% (8.0–22.8)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0.13 (0.06–0.20)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16.0% (6.8–25.3)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(0.09–0.29)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Mean of experts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 (−9.3 to 10.5)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(−0.04 to 0.15)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 (6.3–12.2)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(0.15–0.30)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17.5% (14.1–20.9)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(0.40–0.56)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(4.8–11.7)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(0.15–0.36)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 (0.0–5.5)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(0.00–0.21)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16.9% (11.2–22.8)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0.54 (0.37–0.75)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14.6% (8.8–20.7)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0.46 (0.26–0.68)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 (1.3–13.3)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(0.02–0.45)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12.3% (3.8–20.8)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(0.14–0.76)</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 (−4.1 to 14.5)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(−0.06 to 0.55)</w:t>
            </w:r>
          </w:p>
        </w:tc>
      </w:tr>
    </w:tbl>
    <w:p>
      <w:pPr/>
      <w:r>
        <w:br w:type="page"/>
      </w:r>
    </w:p>
    <w:p>
      <w:pPr>
        <w:pStyle w:val="Titre2"/>
      </w:pPr>
      <w:r>
        <w:t xml:space="preserve">Agreed reference and paired contrasts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2016"/>
        <w:gridCol w:w="504"/>
        <w:gridCol w:w="2592"/>
        <w:gridCol w:w="1872"/>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 (95% CI)</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(3.7–22.6)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(0.08–0.37)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18.5% (7.8–29.1)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(0.28–0.57)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 (−7.0 to 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0.22 (−0.02 to 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(1.1–11.5)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(0.02–0.52)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 (3.4–14.0)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(0.15–0.59)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(−3.6 to 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0.11 (−0.18 to 0.38)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 (11.9–28.6)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(0.19–0.44)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32.9% (23.8–41.9)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(0.34–0.63)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12.7% (3.7–21.5)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(0.04–0.30)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19.2% (7.0–31.4)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0.19 (0.06–0.31)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(7.5–35.0)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0.20 (0.04–0.34)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minus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(7.0–40.0)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(0.11–0.52)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Agreed reference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 (observed)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minus 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(−16.3 to 19.6)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0.12 (−0.05 to 0.29)</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7. CI, confidence interval; 10,000 percentile bootstrap replicates, trials resampled within meta-analysis; seed 20261018. N is the denominator on each row. D1–D5: n = 510 per expert and n = 388 for the agreed reference; individual domains: n = 102 per expert, with agreed-reference n shown by row. Overall (all): n = 102 per expert for ARBITER and Unassisted. Overall (observed): n = 81 per expert for all three sources and every paired contrast involving Published; ARBITER and Unassisted are also reported on these same n = 81 trials. Twenty-one (21) published reviews gave no Overall label; these missing labels are excluded, never counted as disagreements. Agreed-reference Overall uses n = 52 among all trials and n = 42 among the observed-label subset, restricting each population to equal expert ratings. Expert-to-expert Overall: n = 102. Exact agreement is a percentage; paired differences are percentage points or coefficients. Each source cell reports exact agreement n/N (%) and linearly weighted κ. Differences are ARBITER − Unassisted exact agreement in percentage points (95% CI). Overall uses the same 81 trials with observed Published Overall for every source; 21 published labels are missing and excluded. Agreed-reference Overall retains 42 of these trials. Mean of experts is the arithmetic mean of the two expert-specific estimates, not pooled independent observations; only percentages and κ are displayed for this row. Its difference is the mean of the two expert-specific paired differences; the CI is the percentile interval of their mean within each shared bootstrap replicate. The agreed reference retains cells with equal independent expert ratings (388 domain cells; 42 matched Overall trials). The expert-to-expert foot row compares the two independent ratings. Full estimates, all-trial Overall (102 trials; agreed reference 52) and all paired contrasts appear in eTable 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8 Expert reliability</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76.1% (73.1–78.8)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0.59 (0.54–0.64)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87.3% (81.4–93.1)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0.70 (0.53–0.83)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79.4% (71.6–86.3)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(0.32–0.64)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52.9% (46.1–60.8)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(0.35–0.52)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83.3% (77.5–89.2)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0.62 (0.47–0.75)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77.5% (70.6–84.3)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(0.44–0.67)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Exact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 (44.1–57.8)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Weighted κ</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0.35 (0.26–0.44)</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8. CI, confidence interval; 10,000 percentile bootstrap replicates, trials resampled within meta-analysis; seed 20261018. n = 510 for pooled D1–D5; n = 102 for each domain and derived Overall. SC, Some concerns; NI, no information; NA, not applicable. Counts and denominators refer to the named cells or answers.</w:t>
            </w:r>
          </w:p>
        </w:tc>
      </w:tr>
    </w:tbl>
    <w:p>
      <w:pPr/>
      <w:r>
        <w:br w:type="page"/>
      </w:r>
    </w:p>
    <w:p>
      <w:pPr>
        <w:pStyle w:val="Titre2"/>
      </w:pPr>
      <w:r>
        <w:t xml:space="preserve">eTable 9 Direction of disagreement against independent experts</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72.7% (65.9–79.4)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 (1.4–10.3)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21.6% (14.7–28.7)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73.9% (66.7–81.1)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15.9% (9.5–22.3)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 (5.2–15.4)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61.1% (46.9–75.0)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30.6% (17.9–44.4)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 (0.0–17.2)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72.2% (58.1–86.1)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16.7% (6.9–27.5)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 (2.9–20.5)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66.7% (57.1–75.0)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18.8% (11.6–26.7)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14.5% (6.8–23.4)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62.3% (53.6–71.4)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24.6% (14.8–34.1)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Stricter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(5.8–21.6)</w:t>
            </w:r>
          </w:p>
        </w:tc>
      </w:tr>
    </w:tbl>
    <w:p>
      <w:pPr/>
      <w:r>
        <w:br w:type="page"/>
      </w:r>
    </w:p>
    <w:p>
      <w:pPr>
        <w:pStyle w:val="Titre2"/>
      </w:pPr>
      <w:r>
        <w:t xml:space="preserve">Direction of disagreement against independent experts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Adjudicator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Direction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Outcome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41.3% (28.6–54.2)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45.7% (32.7–58.7)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(5.9–20.7)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56.5% (42.9–71.1)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 (17.1–43.8)</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Share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More lenient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Expert matches 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13.0% (5.4–21.7)</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9.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10 Primary endpoint sensitivities and post hoc strata</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Analysis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88.3% (79.7–96.3)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11.7% (3.7–20.3)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Both adjudicators agreed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78.8% (70.4–86.9)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16.2% (8.4–24.7)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 (1.3–9.2)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76.2% (67.6–84.5)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 (15.5–32.4)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Adjudicator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66.2% (58.0–74.6)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8.8% (2.7–15.5)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Counting split decisions against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25.0% (17.8–32.5)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97.7% (92.7–100.0)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(0.0–7.3)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Stricter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62.5% (41.7–83.3)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37.5% (16.7–58.3)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Post hoc: More lenient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Neither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10.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11 Benchmark trials</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Specialty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Journal and Year</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Topic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Trials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Published D1–D5 Labels (Low/SC/High)</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Overall Given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SGLT2 inhibitors and kidney outcomes across eGFR and albuminuria</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General medicine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Clopidogrel vs aspirin for secondary prevention of coronary artery disease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Cardiology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 Am Coll Cardiol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Early aortic valve replacement vs surveillance in asymptomatic severe aortic stenosis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Endocrinology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Diabetes Endocrinol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kidney and cardiovascular outcomes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Gastroenterology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GLP-1 receptor agonists and gastrointestinal adverse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 / 4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Infectious diseases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Infect Dis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Safety of high-dose rifampin in tuberculosis treatment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Nephrology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Clin J Am Soc Nephrol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Therapies for proteinuria and eGFR decline in IgA nephropathy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5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Neurology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Neurol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Pharmacotherapy and non-invasive neuromodulation for neuropathic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 7 /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Obstetrics and gynaecology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Hum Reprod Update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Preconception lifestyle interventions for women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 / 10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Oncology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Oncol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CDK4/6 inhibitors plus endocrine therapy in HR-positive, HER2-negative advanced breast cancer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 0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Orthopaedics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Am J Sports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Lateral extra-articular procedure added to primary ACL reconstruction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 3 /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Paediatrics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JAMA Pediatr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Active treatment vs expectant management of patent ductus arteriosus in preterm infants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Psychiatry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Psychiatry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Cannabinoids for mental and substance use disorders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 / 6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Pulmonary and critical care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Respir Med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Preoxygenation strategies for intubation in critically ill patients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 / 0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No</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Rheumatology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Lancet Rheumatol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Long-term effectiveness of non-surgical interventions for chronic low back pain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 / 23 /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Surgery and anaesthesia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Br J Anaesth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Home-based prehabilitation before surgery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 / 2 /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Yes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Total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 / 69 / 14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 / 102</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11.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12 Published label agreement</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Sensitivity¹</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72.4–79.0)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57.3–74.7)</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77.7–84.7)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(0.19–0.55)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0.84 (0.78–0.89)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10/18 (55.6%; 35.0–77.8)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83.2–95.1)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(−0.15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0.77 (0.69–0.84)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3/16 (18.8%; 0.0–37.5)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69/86 (80.2%; 72.6–87.4)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(0.29–0.57)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(0.68–0.84)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17/19 (89.5%; 73.9–100.0)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66/83 (79.5%; 72.6–86.4)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0.57 (0.33–0.78)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0.95 (0.91–0.98)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7/9 (77.8%; 50.0–100.0)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87/93 (93.5%; 88.9–97.8)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0.30 (0.20–0.41)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0.71 (0.64–0.77)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18/21 (85.7%; 75.0–95.5)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50/81 (61.7%; 53.1–70.4)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83.7–100.0)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44.2–67.4)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74.1–80.8)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40.3–60.2)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82.1–89.3)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0.39 (0.21–0.55)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0.85 (0.79–0.90)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11/18 (61.1%; 40.0–81.8)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75/84 (89.3%; 83.3–95.1)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(−0.10 to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0.79 (0.72–0.85)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4/16 (25.0%; 6.7–45.5)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71/86 (82.6%; 76.1–89.0)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0.29 (0.13–0.44)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(0.67–0.83)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11/19 (57.9%; 38.9–76.5)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70/83 (84.3%; 77.9–90.7)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0.43 (0.22–0.61)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(0.90–0.97)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5/9 (55.6%; 28.6–85.7)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89/93 (95.7%; 92.0–98.9)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(0.07–0.43)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0.76 (0.69–0.83)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11/21 (52.4%; 34.8–71.4)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61/81 (75.3%; 67.9–82.9)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50.0–77.8)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65.9–86.8)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81.0–86.5)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84/102 (82.4%; 76.5–88.2)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84/84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86/102 (84.3%; 78.4–90.2)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86/86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83/102 (81.4%; 76.5–86.3)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83/83 (100.0%)</w:t>
            </w:r>
          </w:p>
        </w:tc>
      </w:tr>
    </w:tbl>
    <w:p>
      <w:pPr/>
      <w:r>
        <w:br w:type="page"/>
      </w:r>
    </w:p>
    <w:p>
      <w:pPr>
        <w:pStyle w:val="Titre2"/>
      </w:pPr>
      <w:r>
        <w:t xml:space="preserve">Published label agreement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409"/>
        <w:gridCol w:w="1409"/>
        <w:gridCol w:w="1409"/>
        <w:gridCol w:w="1409"/>
        <w:gridCol w:w="1409"/>
        <w:gridCol w:w="1409"/>
        <w:gridCol w:w="1409"/>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Sensitivity¹</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93/93 (100.0%)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81/102 (79.4%; 74.5–84.3)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81/81 (100.0%)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All-Low rule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44.4–59.3)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w:t>
            </w:r>
          </w:p>
        </w:tc>
      </w:tr>
      <w:tr>
        <w:trPr>
          <w:cantSplit/>
          <w:trHeight w:val="360" w:hRule="auto"/>
        </w:trPr>
        <w:tc>
          <w:tcPr>
            <w:gridSpan w:val="7"/>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12.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13 Unweighted agreement with published labels</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(0.18–0.53)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(−0.16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71/102 (69.6%; 61.8–77.5)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75/102 (73.5%; 66.7–80.4)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0.55 (0.30–0.77)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93/102 (91.2%; 86.3–96.1)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(0.18–0.39)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65/102 (63.7%; 56.9–71.6)</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0.37 (0.24–0.49)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49.4–66.7)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0.38 (0.20–0.54)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82/102 (80.4%; 74.5–86.3)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0.03 (−0.11 to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73/102 (71.6%; 64.7–78.4)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0.31 (0.15–0.46)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77/102 (75.5%; 68.6–82.4)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(0.13–0.55)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91/102 (89.2%; 83.3–94.1)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0.26 (0.09–0.42)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72/102 (70.6%; 63.7–78.4)</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0.32 (0.17–0.47)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50.6–67.9)</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13.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14 Rule consistency and audit</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Proposed agreement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Recorded override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444</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Required question skipped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Any rule break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bl>
    <w:p>
      <w:pPr/>
      <w:r>
        <w:br w:type="page"/>
      </w:r>
    </w:p>
    <w:p>
      <w:pPr>
        <w:pStyle w:val="Titre2"/>
      </w:pPr>
      <w:r>
        <w:t xml:space="preserve">Rule consistency and audit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Status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Consistent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Permitted escalation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Overall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Rating contradicts its own answers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81</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14.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15 Invalid answer path sensitivity</w:t>
      </w:r>
    </w:p>
    <w:tbl xmlns:a="http://schemas.openxmlformats.org/drawingml/2006/main" xmlns:pic="http://schemas.openxmlformats.org/drawingml/2006/picture">
      <w:tblPr>
        <w:tblLayout w:type="fixed"/>
        <w:jc w:val="center"/>
        <w:tblLook w:firstRow="1" w:lastRow="0" w:firstColumn="0" w:lastColumn="0" w:noHBand="0" w:noVBand="1"/>
      </w:tblPr>
      <w:tblGrid>
        <w:gridCol w:w="1233"/>
        <w:gridCol w:w="1233"/>
        <w:gridCol w:w="1233"/>
        <w:gridCol w:w="1233"/>
        <w:gridCol w:w="1233"/>
        <w:gridCol w:w="1233"/>
        <w:gridCol w:w="1233"/>
        <w:gridCol w:w="123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Original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Invalid Paths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Additional Violations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Domain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Resolution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Violations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N/PN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NI</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w:t>
            </w:r>
          </w:p>
        </w:tc>
      </w:tr>
      <w:tr>
        <w:trPr>
          <w:cantSplit/>
          <w:trHeight w:val="360" w:hRule="auto"/>
        </w:trPr>
        <w:tc>
          <w:tcPr>
            <w:gridSpan w:val="8"/>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15.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16 Time cost and token use</w:t>
      </w:r>
    </w:p>
    <w:tbl xmlns:a="http://schemas.openxmlformats.org/drawingml/2006/main" xmlns:pic="http://schemas.openxmlformats.org/drawingml/2006/picture">
      <w:tblPr>
        <w:tblLayout w:type="fixed"/>
        <w:jc w:val="center"/>
        <w:tblLook w:firstRow="1" w:lastRow="0" w:firstColumn="0" w:lastColumn="0" w:noHBand="0" w:noVBand="1"/>
      </w:tblPr>
      <w:tblGrid>
        <w:gridCol w:w="2466"/>
        <w:gridCol w:w="2466"/>
        <w:gridCol w:w="2466"/>
        <w:gridCol w:w="246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ARBITER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Unassisted (Sonnet 5.5)</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Paired Mean Difference (95% CI)</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System runtime (min/trial)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7.6 [6.1–10.5]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 [0.4–0.5]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11.0 (8.4–14.1)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API list-price equivalent (US$/trial)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 [3.46–4.10]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 [0.07–0.13]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3.68 (3.61–3.75)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Input tokens (count/trial)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96 [86–104]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90 (88–92)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creation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0.49 [0.46–0.54]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0.48 (0.47–0.49)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Cache read tokens (millions/trial)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4.96 [4.48–5.59]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[0.02–0.02]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4.99 (4.87–5.12)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Output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21.4 [18.9–24.3]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 [1.9–2.9]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19.5 (18.8–20.1)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Thinking tokens (thousands/trial)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 [2.6–4.2]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[0.7–1.3]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 (2.3–2.7)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steps/trial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60.0 [54.0–71.8]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4.0 [4.0–5.0]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58.6 (56.9–60.3)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Continue prompts/trial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Turns/trial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 [2.0–2.0]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 (1.0–1.0)</w:t>
            </w:r>
          </w:p>
        </w:tc>
      </w:tr>
      <w:tr>
        <w:trPr>
          <w:cantSplit/>
          <w:trHeight w:val="360" w:hRule="auto"/>
        </w:trPr>
        <w:tc>
          <w:tcPr>
            <w:gridSpan w:val="4"/>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16.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17 API cost estimates and reconstruction bounds</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386.07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1140.34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11.11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365.88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Upper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27.12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Harness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Point Median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Total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bl>
    <w:p>
      <w:pPr/>
      <w:r>
        <w:br w:type="page"/>
      </w:r>
    </w:p>
    <w:p>
      <w:pPr>
        <w:pStyle w:val="Titre2"/>
      </w:pPr>
      <w:r>
        <w:t xml:space="preserve">API cost estimates and reconstruction bounds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Lower Median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10.49</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5m Upper Median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0.09</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17.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18 Token reconciliation</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50698919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512761030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9794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50695878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512867801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2237043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5777447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13464429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203137779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2388538</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-3041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106771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4897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3272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Input</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bl>
    <w:p>
      <w:pPr/>
      <w:r>
        <w:br w:type="page"/>
      </w:r>
    </w:p>
    <w:p>
      <w:pPr>
        <w:pStyle w:val="Titre2"/>
      </w:pPr>
      <w:r>
        <w:t xml:space="preserve">Token reconciliation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3288"/>
        <w:gridCol w:w="3288"/>
        <w:gridCol w:w="3288"/>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Measure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644</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1910531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3585005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Result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248579</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Output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Input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Write5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Gap Read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322</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 Requests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Compaction Events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Side Calls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Turns with Request Excess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Side without Compaction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18.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19 Evidence binding</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Metric</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Count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Value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1538</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Structural evidence binding (overall)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Text-span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Visual evidence binding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100.0% (100.0–100.0)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Other evidence records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 (0.0–0.0)</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Trials using visual evidence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7.8% (2.9–12.7)</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Evidence coverage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Unassisted (Sonnet 5.5)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Bundle verification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19.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eTable 20 Derived Overall validation differences</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Column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Workbook</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Calculated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Matches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abbasi-2012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aboelfadl-2022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albert-2013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ashar-2022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baillard-2018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barratt-2024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bendix-1996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bendix-2000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canvas-program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chua-2022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dapa-hf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declare-timi-58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deliver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empa-reg-outcome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emperor-preserved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emperor-reduced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envision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frat-2019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fulop-2021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guitton-2019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gupta-2024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jaber-2016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lv-2023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nefigard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bl>
    <w:p>
      <w:pPr/>
      <w:r>
        <w:br w:type="page"/>
      </w:r>
    </w:p>
    <w:p>
      <w:pPr>
        <w:pStyle w:val="Titre2"/>
      </w:pPr>
      <w:r>
        <w:t xml:space="preserve">Derived Overall validation differences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973"/>
        <w:gridCol w:w="1973"/>
        <w:gridCol w:w="1973"/>
        <w:gridCol w:w="1973"/>
        <w:gridCol w:w="1973"/>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Slug</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Column</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Workbook</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Calculated</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Matches</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rosen-2021</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High</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sanctuary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stop-igan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testing</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Some concerns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FALSE</w:t>
            </w:r>
          </w:p>
        </w:tc>
      </w:tr>
      <w:tr>
        <w:trPr>
          <w:cantSplit/>
          <w:trHeight w:val="360" w:hRule="auto"/>
        </w:trPr>
        <w:tc>
          <w:tcPr>
            <w:gridSpan w:val="5"/>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20. CI, confidence interval; 10,000 percentile bootstrap replicates, trials resampled within meta-analysis; seed 20261018. All n = 29 differences from n = 612 column–trial checks are shown: 21 published reviews gave no Overall label; seven High escalations are permitted; one Published Low label differs from derived Some concerns. Missing Published labels are excluded from expert agreement, never counted as disagreements. SC, Some concerns; NI, no information; NA, not applicable. Counts and denominators refer to the named cells or answers.</w:t>
            </w:r>
          </w:p>
        </w:tc>
      </w:tr>
    </w:tbl>
    <w:p>
      <w:pPr/>
      <w:r>
        <w:br w:type="page"/>
      </w:r>
    </w:p>
    <w:p>
      <w:pPr>
        <w:pStyle w:val="Titre2"/>
      </w:pPr>
      <w:r>
        <w:t xml:space="preserve">eTable 21 Evidence and quotation locations for the prior-work comparison</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No; Enforcement — No; Agent — No: “Support Vector Machine” — Methods, Machine-Learning Approach: learned document/sentence classifiers, not official decision-rule execution or a tool-calling agent. Three classifiers use held-out trial reports; model internals differ.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No: “Linking with this dataset may yield better performance.” — Discussion, selective reporting limitation: protocol/registry linkage is future work; current models use trial-publication text.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Identical inputs — Yes; Fixed-model comparison — No: “test data” — Evaluation, Task 1: the held-out duplicate-assessment trial set is used across three classifier variants. This compares different classifiers, not the same model with/without an assessment workflow.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Marshall 2016]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Reference; Independent reference — Partly: “blinded expert panel” — Introduction and Evaluation: historical independent Cochrane assessments supply RoB labels; newly recruited blinded experts assess supporting-text relevance only. No newly adjudicated RoB reference is implied.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PMC4713900, Methods and Evaluation.</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“checked the 100 overall judgements” — Methods, Data analysis: overall-rule check only; 2/100 violations; not signalling-answer/domain conformance.</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Eisele-Metzger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“We reviewed all ‘two-level discrepancies’” — Methods, Data analysis: unblinded author review against sources, not an independent panel or replacement reference.</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PMC12527486, Methods.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Partly: “using Excel based on the RoB2 decision algorithm” — Discussion, Principal Findings: secondary spreadsheet derivation; executable formulas/automation are not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Partly: “investigated the discrepancies” — Methods, Statistical Analysis: direct versus algorithm-derived judgments compared; no violation count/rate.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“initially conducted independent judgments” — Methods, Establishment of the Criterion Standard: three trained reviewers, then consensus.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Huang 2025]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No: “excluding Multimedia Appendices and protocols” — Discussion, Principal Findings; Limitations additionally excludes registration documents. Protocol availability is metadata, not delivery of a protocol.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PMC12238788,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Lai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“manually corrected based on research team consensus” — Methods, Establishment of the Reference Standard; Results sensitivity analysis: corrections to Toouli assessments, not a new blinded reference.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PMC13614218,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Nyrhi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“PDF-versions of their protocols when available” — Methods, Prompt development and standardisation: available protocols supplied; DeepSeek received copied protocol text (eAppendix 1). Missing protocols for some trials do not turn documented delivery into Partly; the column does not require a protocol for every trial.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PMC13054287, Methods; eAppendix 1.</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“web-browsing capabilities enabled” — Methods, Data collection and RoB assessment: capability enabled; actual external searches not logged/quantified.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Gandhi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“masked to the OSRA’s assessments” — Same section: three reviewers independently re-rated all 50 trials; consensus/fourth reviewer resolved their differences.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PMC13334998,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“implemented in code” — Methods, RoB 2.0 Algorithm Implementation: authors recomputed domain judgments.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Enforcement — Partly: “official flowchart aggregation logic” — Methods, Study Design and Data: ROBoto2 component only; general Gemini/Gems emit ratings.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Yes: “conformance was 43%” — Results, Algorithm Conformance and Internal Consistency: 43%, 51%, 60% across configurations; skip logic also checked.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“reference knowledge” — Methods, Study Design and Data: Gems retrieval and ROBoto2 pipeline, not demonstrated autonomous tool calls.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Choi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“One experienced reviewer’s assessment served as the reference.” — Methods, Study Design and Data: a single expert, not a blinded panel.</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Publisher full article, Methods and Results.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Enforcement — Partly: “implement the logic provided by the ROB2 flowcharts” — Section 4, Domain-level and overall judgments: integrated software aggregation; not proven rejection of invalid/incomplete answers, and Choi found displayed inconsistencies.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Partly: “retains the original LLM responses and rationales” — Section 4, Collecting user feedback: original and human-edited records retained; no independently verified source-integrity bundle.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“retrieved evidence paragraphs as context” — Section 4, Answering signaling questions: retrieval pipeline, not autonomous agent tool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Hevia 2025]</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“245 reports” — Section 5, Annotation procedure: manually assessed expert subset used for every LLM evaluation.</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arXiv:2511.03048 v1, sections 4–5.</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Partly: “a verbatim quotation drawn from the retrieved trial text” — Methods, Retrieval-Based Evidence Support and Hallucination Assessment: GPT-5 judge supplies quoted support verdicts; no deterministic occurrence/hash check established.</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Partly: “returned structured JSON” — Same section: verdict, quote and rationale are reviewable; no complete independently verifiable source bundle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Liang 2026]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Partly: “post hoc claim verification” — Discussion, Limitations: BM25 plus judge pipeline evaluates generated claims; no autonomous assessment agent established.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PMC13628037, Methods and Discussion.</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Not reported: “customised agent-based implementations” — Methods, LLM assessment workflow: structured prompting is established, but neither retrieval nor external tool calling is demonstrated.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[ref: Saadi 2026]</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Partly: “two separate teams of human reviewers” — Methods, Study design and data source: concordant historical review ratings selected, not new adjudication.</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PMC13528376, Methods.</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Code rules — Yes: “ARBITER proposals must reproduce the official algorithms for every domain” — ANALYSIS-PLAN, section 5.4; eTable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Enforcement — Yes: every override must be recorded; no ARBITER domain overrides were recorded in these 510 domains — ANALYSIS-PLAN, section 5.4; Table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Rule checks — Yes: ARBITER D1–D5 rule breaks 0/510 — eTable 14; Table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Quotation checks — Yes: “found in the stored source” — ANALYSIS-PLAN, section 5.5; eTable 19 reports 1407/1407 text-span and 14/14 visual evidence bindings.</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bl>
    <w:p>
      <w:pPr/>
      <w:r>
        <w:br w:type="page"/>
      </w:r>
    </w:p>
    <w:p>
      <w:pPr>
        <w:pStyle w:val="Titre2"/>
      </w:pPr>
      <w:r>
        <w:t xml:space="preserve">Evidence and quotation locations for the prior-work comparison continued</w:t>
      </w:r>
    </w:p>
    <w:tbl xmlns:a="http://schemas.openxmlformats.org/drawingml/2006/main" xmlns:pic="http://schemas.openxmlformats.org/drawingml/2006/picture">
      <w:tblPr>
        <w:tblLayout w:type="fixed"/>
        <w:jc w:val="center"/>
        <w:tblLook w:firstRow="1" w:lastRow="0" w:firstColumn="0" w:lastColumn="0" w:noHBand="0" w:noVBand="1"/>
      </w:tblPr>
      <w:tblGrid>
        <w:gridCol w:w="1584"/>
        <w:gridCol w:w="6984"/>
        <w:gridCol w:w="1296"/>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Study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Quoted Cell Evidence and Locations</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Source</w:t>
            </w:r>
          </w:p>
        </w:tc>
      </w:tr>
      <w:tr>
        <w:trPr>
          <w:cantSplit/>
          <w:trHeight w:val="480"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Audit file — Yes: stored bundles contain canonical bundle records and verification receipts; eTable 19 reports 102/102 bundle verification. Sources: ARBITER bundles and independent verification receipts.</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Agent — Yes: “its MCP server.” — ARBITER run input inventory, Setup.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4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Independent reference — Yes: Two blinded human experts independently rated all 510 trial domains without AI, before viewing labels. Sources: the two full-coverage adjudication workbooks, Adjudications sheets; design specification in the full-coverage expert assessment specification.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490"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(ARBITER)</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Registry/protocol — Yes: “the 60 protocol and SAP PDFs” — Unassisted run input inventory, Inputs; ARBITER run input inventory, opening paragraph: registry document acquisition enabled. Availability varies by trial; Yes records delivery of the complete acquired ancillary set to both arms, not that every trial had a protocol.</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keepNex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This study, Methods, Results and Table 3.</w:t>
            </w:r>
          </w:p>
        </w:tc>
      </w:tr>
      <w:tr>
        <w:trPr>
          <w:cantSplit/>
          <w:trHeight w:val="360" w:hRule="auto"/>
        </w:trPr>
        <w:tc>
          <w:tcPr>
            <w:gridSpan w:val="3"/>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eTable 21. CI, confidence interval; 10,000 percentile bootstrap replicates, trials resampled within meta-analysis; seed 20261018.  SC, Some concerns; NI, no information; NA, not applicable. Counts and denominators refer to the named cells or answers.</w:t>
            </w:r>
          </w:p>
        </w:tc>
      </w:tr>
    </w:tbl>
    <w:p>
      <w:pPr/>
      <w:r>
        <w:br w:type="page"/>
      </w:r>
    </w:p>
    <w:p>
      <w:pPr>
        <w:pStyle w:val="Titre2"/>
      </w:pPr>
      <w:r>
        <w:t xml:space="preserve">eFigure 1 Published label agreement varied across reviews</w:t>
      </w:r>
    </w:p>
    <w:p>
      <w:pPr>
        <w:pStyle w:val="Normal"/>
      </w:pPr>
      <w:r>
        <w:rPr/>
        <w:drawing>
          <wp:inline distT="0" distB="0" distL="0" distR="0">
            <wp:extent cx="6126480" cy="704088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6126480" cy="7040880"/>
                    </a:xfrm>
                    <a:prstGeom prst="rect">
                      <a:avLst/>
                    </a:prstGeom>
                    <a:noFill/>
                  </pic:spPr>
                </pic:pic>
              </a:graphicData>
            </a:graphic>
          </wp:inline>
        </w:drawing>
      </w:r>
    </w:p>
    <w:p>
      <w:pPr>
        <w:pStyle w:val="ManuscriptBody"/>
      </w:pPr>
      <w:r>
        <w:t xml:space="preserve">CI, confidence interval; 10,000 percentile bootstrap replicates, trials resampled within meta-analysis; seed 20261018.</w:t>
      </w:r>
    </w:p>
    <w:p>
      <w:pPr/>
      <w:r>
        <w:br w:type="page"/>
      </w:r>
    </w:p>
    <w:p>
      <w:pPr>
        <w:pStyle w:val="Titre2"/>
      </w:pPr>
      <w:r>
        <w:t xml:space="preserve">eFigure 2 Domain level signalling agreement</w:t>
      </w:r>
    </w:p>
    <w:p>
      <w:pPr>
        <w:pStyle w:val="Normal"/>
      </w:pPr>
      <w:r>
        <w:rPr/>
        <w:drawing>
          <wp:inline distT="0" distB="0" distL="0" distR="0">
            <wp:extent cx="6126480" cy="493776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6126480" cy="4937760"/>
                    </a:xfrm>
                    <a:prstGeom prst="rect">
                      <a:avLst/>
                    </a:prstGeom>
                    <a:noFill/>
                  </pic:spPr>
                </pic:pic>
              </a:graphicData>
            </a:graphic>
          </wp:inline>
        </w:drawing>
      </w:r>
    </w:p>
    <w:p>
      <w:pPr>
        <w:pStyle w:val="ManuscriptBody"/>
      </w:pPr>
      <w:r>
        <w:t xml:space="preserve">ARBITER: blue circles; Unassisted: orange squares. Experts are separated by facet. Five-level and collapsed exact agreement, with all domain denominators in eTable 5. CI, confidence interval; 10,000 percentile bootstrap replicates, trials resampled within meta-analysis; seed 20261018.</w:t>
      </w:r>
    </w:p>
    <w:p>
      <w:pPr/>
      <w:r>
        <w:br w:type="page"/>
      </w:r>
    </w:p>
    <w:p>
      <w:pPr>
        <w:pStyle w:val="Titre2"/>
      </w:pPr>
      <w:r>
        <w:t xml:space="preserve">eFigure 3 All signalling question paired differences</w:t>
      </w:r>
    </w:p>
    <w:p>
      <w:pPr>
        <w:pStyle w:val="Normal"/>
      </w:pPr>
      <w:r>
        <w:rPr/>
        <w:drawing>
          <wp:inline distT="0" distB="0" distL="0" distR="0">
            <wp:extent cx="6126480" cy="731520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6126480" cy="7315200"/>
                    </a:xfrm>
                    <a:prstGeom prst="rect">
                      <a:avLst/>
                    </a:prstGeom>
                    <a:noFill/>
                  </pic:spPr>
                </pic:pic>
              </a:graphicData>
            </a:graphic>
          </wp:inline>
        </w:drawing>
      </w:r>
    </w:p>
    <w:p>
      <w:pPr>
        <w:pStyle w:val="ManuscriptBody"/>
      </w:pPr>
      <w:r>
        <w:t xml:space="preserve">Both collapsed and five-level scales are shown, including questions with fewer than 20 paired answers. Blue circles show ARBITER − Unassisted; expert identity is given by row labels. Full numerical values are in eTable 5. CI, confidence interval; 10,000 percentile bootstrap replicates, trials resampled within meta-analysis; seed 20261018.</w:t>
      </w:r>
    </w:p>
    <w:p>
      <w:pPr/>
      <w:r>
        <w:br w:type="page"/>
      </w:r>
    </w:p>
    <w:p>
      <w:pPr>
        <w:pStyle w:val="Titre1"/>
      </w:pPr>
      <w:r>
        <w:t xml:space="preserve">AVATAR complete trace</w:t>
      </w:r>
    </w:p>
    <w:p>
      <w:pPr>
        <w:pStyle w:val="Titre2"/>
      </w:pPr>
      <w:r>
        <w:t xml:space="preserve">Part A. Answers and judgements</w:t>
      </w:r>
    </w:p>
    <w:p>
      <w:pPr>
        <w:pStyle w:val="Titre2"/>
      </w:pPr>
      <w:r>
        <w:t xml:space="preserve">D1 judgement / rationale</w:t>
      </w:r>
    </w:p>
    <w:p>
      <w:pPr>
        <w:pStyle w:val="ManuscriptBody"/>
      </w:pPr>
      <w:r>
        <w:t xml:space="preserve">ARBITER: Proposed: Low; adopted: Low</w:t>
      </w:r>
    </w:p>
    <w:p>
      <w:pPr>
        <w:pStyle w:val="ManuscriptBody"/>
      </w:pPr>
      <w:r>
        <w:t xml:space="preserve">Unassisted: Low
Allocation used a computer-generated, centre-stratified permuted-block sequence delivered through a web-based interactive response system, so concealment was adequate. The baseline differences in age (P = .02) and haemoglobin (P = .01) are consistent with chance across about 25 variables.</w:t>
      </w:r>
    </w:p>
    <w:p>
      <w:pPr>
        <w:pStyle w:val="Titre2"/>
      </w:pPr>
      <w:r>
        <w:t xml:space="preserve">1.1 Random allocation sequence</w:t>
      </w:r>
    </w:p>
    <w:p>
      <w:pPr>
        <w:pStyle w:val="ManuscriptBody"/>
      </w:pPr>
      <w:r>
        <w:t xml:space="preserve">ARBITER: Yes</w:t>
      </w:r>
    </w:p>
    <w:p>
      <w:pPr>
        <w:pStyle w:val="ManuscriptBody"/>
      </w:pPr>
      <w:r>
        <w:t xml:space="preserve">Evidence handles (type): eh_d6c269341c7d8a5d (direct support)</w:t>
      </w:r>
    </w:p>
    <w:p>
      <w:pPr>
        <w:pStyle w:val="ManuscriptBody"/>
      </w:pPr>
      <w:r>
        <w:t xml:space="preserve">Justification: The original AVATAR paper states the assignment was computer-generated and stratified by centre using a permuted-block sequence with variable block size, which is a random component.</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1.2 Concealment until enrolment and assignment</w:t>
      </w:r>
    </w:p>
    <w:p>
      <w:pPr>
        <w:pStyle w:val="ManuscriptBody"/>
      </w:pPr>
      <w:r>
        <w:t xml:space="preserve">ARBITER: Yes</w:t>
      </w:r>
    </w:p>
    <w:p>
      <w:pPr>
        <w:pStyle w:val="ManuscriptBody"/>
      </w:pPr>
      <w:r>
        <w:t xml:space="preserve">Evidence handles (type): eh_d6c269341c7d8a5d (direct support)</w:t>
      </w:r>
    </w:p>
    <w:p>
      <w:pPr>
        <w:pStyle w:val="ManuscriptBody"/>
      </w:pPr>
      <w:r>
        <w:t xml:space="preserve">Justification: Patients were randomized using a web-based interactive response system, a central remote allocation method independent of enrolment staff. Variable block size limits predictability of the last allocations in a block.</w:t>
      </w:r>
    </w:p>
    <w:p>
      <w:pPr>
        <w:pStyle w:val="ManuscriptBody"/>
      </w:pPr>
      <w:r>
        <w:t xml:space="preserve">Unknowns: Whether the central system was run by a unit independent of enrolling staff is not stated explicitly.</w:t>
      </w:r>
    </w:p>
    <w:p>
      <w:pPr>
        <w:pStyle w:val="ManuscriptBody"/>
      </w:pPr>
      <w:r>
        <w:t xml:space="preserve">Counterevidence: —</w:t>
      </w:r>
    </w:p>
    <w:p>
      <w:pPr>
        <w:pStyle w:val="ManuscriptBody"/>
      </w:pPr>
      <w:r>
        <w:t xml:space="preserve">Unassisted: Yes</w:t>
      </w:r>
    </w:p>
    <w:p>
      <w:pPr>
        <w:pStyle w:val="Titre2"/>
      </w:pPr>
      <w:r>
        <w:t xml:space="preserve">1.3 Preintervention imbalance suggesting a randomisation problem</w:t>
      </w:r>
    </w:p>
    <w:p>
      <w:pPr>
        <w:pStyle w:val="ManuscriptBody"/>
      </w:pPr>
      <w:r>
        <w:t xml:space="preserve">ARBITER: No</w:t>
      </w:r>
    </w:p>
    <w:p>
      <w:pPr>
        <w:pStyle w:val="ManuscriptBody"/>
      </w:pPr>
      <w:r>
        <w:t xml:space="preserve">Evidence handles (type): eh_92eed84c7b98e37c (direct support); eh_58abdac52262aa33 (context)</w:t>
      </w:r>
    </w:p>
    <w:p>
      <w:pPr>
        <w:pStyle w:val="ManuscriptBody"/>
      </w:pPr>
      <w:r>
        <w:t xml:space="preserve">Justification: Group sizes were 78 vs 79. Of about 25 baseline comparisons in Table 2, only age (P=.02) and haemoglobin (P=.01) were nominally significant, and diabetes was P=.07. The age difference is 1 year in medians. This is compatible with chance and none approaches P&lt;0.001.</w:t>
      </w:r>
    </w:p>
    <w:p>
      <w:pPr>
        <w:pStyle w:val="ManuscriptBody"/>
      </w:pPr>
      <w:r>
        <w:t xml:space="preserve">Unknowns: —</w:t>
      </w:r>
    </w:p>
    <w:p>
      <w:pPr>
        <w:pStyle w:val="ManuscriptBody"/>
      </w:pPr>
      <w:r>
        <w:t xml:space="preserve">Counterevidence: Basis 1: Diabetes was less common in early surgery (17.9% vs 29.1%), which could favour surgery, but P=.07 is compatible with chance and the 2022 paper attributes it to chance.</w:t>
      </w:r>
    </w:p>
    <w:p>
      <w:pPr>
        <w:pStyle w:val="ManuscriptBody"/>
      </w:pPr>
      <w:r>
        <w:t xml:space="preserve">Unassisted: Probably no</w:t>
      </w:r>
    </w:p>
    <w:p>
      <w:pPr/>
      <w:r>
        <w:br w:type="page"/>
      </w:r>
    </w:p>
    <w:p>
      <w:pPr>
        <w:pStyle w:val="Titre2"/>
      </w:pPr>
      <w:r>
        <w:t xml:space="preserve">D2 judgement / rationale</w:t>
      </w:r>
    </w:p>
    <w:p>
      <w:pPr>
        <w:pStyle w:val="ManuscriptBody"/>
      </w:pPr>
      <w:r>
        <w:t xml:space="preserve">ARBITER: Proposed: Low; adopted: Low</w:t>
      </w:r>
    </w:p>
    <w:p>
      <w:pPr>
        <w:pStyle w:val="ManuscriptBody"/>
      </w:pPr>
      <w:r>
        <w:t xml:space="preserve">Unassisted: Low
The trial was open label, so participants and clinicians knew the assignments. Surgery in the conservative arm followed protocol-defined triggers such as symptom onset. Six of 78 early-surgery patients did not receive surgery, and some surgeries were delayed by COVID-19. These are not deviations likely to affect the outcome. The analysis was intention-to-treat.</w:t>
      </w:r>
    </w:p>
    <w:p>
      <w:pPr>
        <w:pStyle w:val="Titre2"/>
      </w:pPr>
      <w:r>
        <w:t xml:space="preserve">2.1 Participants aware of assignment</w:t>
      </w:r>
    </w:p>
    <w:p>
      <w:pPr>
        <w:pStyle w:val="ManuscriptBody"/>
      </w:pPr>
      <w:r>
        <w:t xml:space="preserve">ARBITER: Yes</w:t>
      </w:r>
    </w:p>
    <w:p>
      <w:pPr>
        <w:pStyle w:val="ManuscriptBody"/>
      </w:pPr>
      <w:r>
        <w:t xml:space="preserve">Evidence handles (type): eh_975aac3202107531 (direct support); eh_3ce4199af9d487f3 (context)</w:t>
      </w:r>
    </w:p>
    <w:p>
      <w:pPr>
        <w:pStyle w:val="ManuscriptBody"/>
      </w:pPr>
      <w:r>
        <w:t xml:space="preserve">Justification: The registry lists masking as NONE, and the comparison is surgical valve replacement versus watchful waiting, which cannot be hidden from participants.</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2.2 Carers or intervention providers aware of assignment</w:t>
      </w:r>
    </w:p>
    <w:p>
      <w:pPr>
        <w:pStyle w:val="ManuscriptBody"/>
      </w:pPr>
      <w:r>
        <w:t xml:space="preserve">ARBITER: Yes</w:t>
      </w:r>
    </w:p>
    <w:p>
      <w:pPr>
        <w:pStyle w:val="ManuscriptBody"/>
      </w:pPr>
      <w:r>
        <w:t xml:space="preserve">Evidence handles (type): eh_975aac3202107531 (direct support)</w:t>
      </w:r>
    </w:p>
    <w:p>
      <w:pPr>
        <w:pStyle w:val="ManuscriptBody"/>
      </w:pPr>
      <w:r>
        <w:t xml:space="preserve">Justification: Open-label surgery versus conservative care means clinicians and surgeons delivering care knew the assignment. Allocation was concealed until assignment, but blinding afterwards was impossible.</w:t>
      </w:r>
    </w:p>
    <w:p>
      <w:pPr>
        <w:pStyle w:val="ManuscriptBody"/>
      </w:pPr>
      <w:r>
        <w:t xml:space="preserve">Unknowns: —</w:t>
      </w:r>
    </w:p>
    <w:p>
      <w:pPr>
        <w:pStyle w:val="ManuscriptBody"/>
      </w:pPr>
      <w:r>
        <w:t xml:space="preserve">Counterevidence: —</w:t>
      </w:r>
    </w:p>
    <w:p>
      <w:pPr>
        <w:pStyle w:val="ManuscriptBody"/>
      </w:pPr>
      <w:r>
        <w:t xml:space="preserve">Unassisted: Yes</w:t>
      </w:r>
    </w:p>
    <w:p>
      <w:pPr>
        <w:pStyle w:val="Titre2"/>
      </w:pPr>
      <w:r>
        <w:t xml:space="preserve">2.3 Deviations arising from trial context</w:t>
      </w:r>
    </w:p>
    <w:p>
      <w:pPr>
        <w:pStyle w:val="ManuscriptBody"/>
      </w:pPr>
      <w:r>
        <w:t xml:space="preserve">ARBITER: Probably no</w:t>
      </w:r>
    </w:p>
    <w:p>
      <w:pPr>
        <w:pStyle w:val="ManuscriptBody"/>
      </w:pPr>
      <w:r>
        <w:t xml:space="preserve">Evidence handles (type): eh_c8e0958840636206 (direct support); eh_22d01d9384e1a677 (context); eh_4b5761bf573cc287 (context); eh_05e667d2d41d3858 (context)</w:t>
      </w:r>
    </w:p>
    <w:p>
      <w:pPr>
        <w:pStyle w:val="ManuscriptBody"/>
      </w:pPr>
      <w:r>
        <w:t xml:space="preserve">Justification: Crossover from conservative care to surgery (35/79) was driven by protocol-defined indications (symptom onset, AS progression, LVEF decline), as Table 3 and the protocol show, so it is consistent with the protocol rather than trial-context driven. Surgical delays beyond 8 weeks arose from the COVID-19 public-health emergency and were documented as an anticipated minor deviation in the SAP amendment. Four early-surgery patients did not receive surgery as assigned, for reasons like infection or declining, which could occur outside a trial.</w:t>
      </w:r>
    </w:p>
    <w:p>
      <w:pPr>
        <w:pStyle w:val="ManuscriptBody"/>
      </w:pPr>
      <w:r>
        <w:t xml:space="preserve">Unknowns: Reasons for declining surgery are not described in detail.</w:t>
      </w:r>
    </w:p>
    <w:p>
      <w:pPr>
        <w:pStyle w:val="ManuscriptBody"/>
      </w:pPr>
      <w:r>
        <w:t xml:space="preserve">Counterevidence: Basis 3: The authors note pandemic-related follow-up substitution by phone and lengthened AVR delays could have increased clinical risk. These arose from the pandemic, not the trial context, and no deaths occurred while awaiting scheduled surgery in the conservative group.</w:t>
      </w:r>
    </w:p>
    <w:p>
      <w:pPr>
        <w:pStyle w:val="ManuscriptBody"/>
      </w:pPr>
      <w:r>
        <w:t xml:space="preserve">Unassisted: Probably no</w:t>
      </w:r>
    </w:p>
    <w:p>
      <w:pPr/>
      <w:r>
        <w:br w:type="page"/>
      </w:r>
    </w:p>
    <w:p>
      <w:pPr>
        <w:pStyle w:val="Titre2"/>
      </w:pPr>
      <w:r>
        <w:t xml:space="preserve">2.4 Deviations affecting the outcome</w:t>
      </w:r>
    </w:p>
    <w:p>
      <w:pPr>
        <w:pStyle w:val="ManuscriptBody"/>
      </w:pPr>
      <w:r>
        <w:t xml:space="preserve">ARBITER: Not asked (inactive; branching)</w:t>
      </w:r>
    </w:p>
    <w:p>
      <w:pPr>
        <w:pStyle w:val="ManuscriptBody"/>
      </w:pPr>
      <w:r>
        <w:t xml:space="preserve">Unassisted: Not applicable</w:t>
      </w:r>
    </w:p>
    <w:p>
      <w:pPr>
        <w:pStyle w:val="Titre2"/>
      </w:pPr>
      <w:r>
        <w:t xml:space="preserve">2.5 Deviations balanced across groups</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2.6 Appropriate analysis of assignment effect</w:t>
      </w:r>
    </w:p>
    <w:p>
      <w:pPr>
        <w:pStyle w:val="ManuscriptBody"/>
      </w:pPr>
      <w:r>
        <w:t xml:space="preserve">ARBITER: Yes</w:t>
      </w:r>
    </w:p>
    <w:p>
      <w:pPr>
        <w:pStyle w:val="ManuscriptBody"/>
      </w:pPr>
      <w:r>
        <w:t xml:space="preserve">Evidence handles (type): eh_30fa222ec5523dcc (direct support); eh_c8e0958840636206 (direct support)</w:t>
      </w:r>
    </w:p>
    <w:p>
      <w:pPr>
        <w:pStyle w:val="ManuscriptBody"/>
      </w:pPr>
      <w:r>
        <w:t xml:space="preserve">Justification: All analyses were intention-to-treat as randomized, and all 157 patients were included. One early-surgery patient lost to follow-up was censored and still analysed.</w:t>
      </w:r>
    </w:p>
    <w:p>
      <w:pPr>
        <w:pStyle w:val="ManuscriptBody"/>
      </w:pPr>
      <w:r>
        <w:t xml:space="preserve">Unknowns: —</w:t>
      </w:r>
    </w:p>
    <w:p>
      <w:pPr>
        <w:pStyle w:val="ManuscriptBody"/>
      </w:pPr>
      <w:r>
        <w:t xml:space="preserve">Counterevidence: —</w:t>
      </w:r>
    </w:p>
    <w:p>
      <w:pPr>
        <w:pStyle w:val="ManuscriptBody"/>
      </w:pPr>
      <w:r>
        <w:t xml:space="preserve">Unassisted: Yes</w:t>
      </w:r>
    </w:p>
    <w:p>
      <w:pPr>
        <w:pStyle w:val="Titre2"/>
      </w:pPr>
      <w:r>
        <w:t xml:space="preserve">2.7 Substantial impact of analysing outside assigned groups</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D3 judgement / rationale</w:t>
      </w:r>
    </w:p>
    <w:p>
      <w:pPr>
        <w:pStyle w:val="ManuscriptBody"/>
      </w:pPr>
      <w:r>
        <w:t xml:space="preserve">ARBITER: Proposed: Low; adopted: Low</w:t>
      </w:r>
    </w:p>
    <w:p>
      <w:pPr>
        <w:pStyle w:val="ManuscriptBody"/>
      </w:pPr>
      <w:r>
        <w:t xml:space="preserve">Unassisted: Low
All 157 patients were analysed. One patient lost to follow-up was censored.</w:t>
      </w:r>
    </w:p>
    <w:p>
      <w:pPr>
        <w:pStyle w:val="Titre2"/>
      </w:pPr>
      <w:r>
        <w:t xml:space="preserve">3.1 Outcome data available for nearly everyone</w:t>
      </w:r>
    </w:p>
    <w:p>
      <w:pPr>
        <w:pStyle w:val="ManuscriptBody"/>
      </w:pPr>
      <w:r>
        <w:t xml:space="preserve">ARBITER: Yes</w:t>
      </w:r>
    </w:p>
    <w:p>
      <w:pPr>
        <w:pStyle w:val="ManuscriptBody"/>
      </w:pPr>
      <w:r>
        <w:t xml:space="preserve">Evidence handles (type): eh_e66d374e838e8c6d (direct support)</w:t>
      </w:r>
    </w:p>
    <w:p>
      <w:pPr>
        <w:pStyle w:val="ManuscriptBody"/>
      </w:pPr>
      <w:r>
        <w:t xml:space="preserve">Justification: All 157 randomized patients were analysed and median follow-up was 63 months. Only one patient (early-surgery arm) was lost to follow-up and censored at last contact, so 1/157 (0.6%) has incomplete outcome data. This is far fewer than the observed deaths, so any outcome for that patient could not materially change the HR of 0.44.</w:t>
      </w:r>
    </w:p>
    <w:p>
      <w:pPr>
        <w:pStyle w:val="ManuscriptBody"/>
      </w:pPr>
      <w:r>
        <w:t xml:space="preserve">Unknowns: —</w:t>
      </w:r>
    </w:p>
    <w:p>
      <w:pPr>
        <w:pStyle w:val="ManuscriptBody"/>
      </w:pPr>
      <w:r>
        <w:t xml:space="preserve">Counterevidence: —</w:t>
      </w:r>
    </w:p>
    <w:p>
      <w:pPr>
        <w:pStyle w:val="ManuscriptBody"/>
      </w:pPr>
      <w:r>
        <w:t xml:space="preserve">Unassisted: Yes</w:t>
      </w:r>
    </w:p>
    <w:p>
      <w:pPr/>
      <w:r>
        <w:br w:type="page"/>
      </w:r>
    </w:p>
    <w:p>
      <w:pPr>
        <w:pStyle w:val="Titre2"/>
      </w:pPr>
      <w:r>
        <w:t xml:space="preserve">3.2 Evidence against bias from missing data</w:t>
      </w:r>
    </w:p>
    <w:p>
      <w:pPr>
        <w:pStyle w:val="ManuscriptBody"/>
      </w:pPr>
      <w:r>
        <w:t xml:space="preserve">ARBITER: Not asked (inactive; branching)</w:t>
      </w:r>
    </w:p>
    <w:p>
      <w:pPr>
        <w:pStyle w:val="ManuscriptBody"/>
      </w:pPr>
      <w:r>
        <w:t xml:space="preserve">Unassisted: Not applicable</w:t>
      </w:r>
    </w:p>
    <w:p>
      <w:pPr>
        <w:pStyle w:val="Titre2"/>
      </w:pPr>
      <w:r>
        <w:t xml:space="preserve">3.3 Missingness potentially depends on true outcome</w:t>
      </w:r>
    </w:p>
    <w:p>
      <w:pPr>
        <w:pStyle w:val="ManuscriptBody"/>
      </w:pPr>
      <w:r>
        <w:t xml:space="preserve">ARBITER: Not asked (inactive; branching)</w:t>
      </w:r>
    </w:p>
    <w:p>
      <w:pPr>
        <w:pStyle w:val="ManuscriptBody"/>
      </w:pPr>
      <w:r>
        <w:t xml:space="preserve">Unassisted: Not applicable</w:t>
      </w:r>
    </w:p>
    <w:p>
      <w:pPr/>
      <w:r>
        <w:br w:type="page"/>
      </w:r>
    </w:p>
    <w:p>
      <w:pPr>
        <w:pStyle w:val="Titre2"/>
      </w:pPr>
      <w:r>
        <w:t xml:space="preserve">3.4 Missingness likely depends on true outcome</w:t>
      </w:r>
    </w:p>
    <w:p>
      <w:pPr>
        <w:pStyle w:val="ManuscriptBody"/>
      </w:pPr>
      <w:r>
        <w:t xml:space="preserve">ARBITER: Not asked (inactive; branching)</w:t>
      </w:r>
    </w:p>
    <w:p>
      <w:pPr>
        <w:pStyle w:val="ManuscriptBody"/>
      </w:pPr>
      <w:r>
        <w:t xml:space="preserve">Unassisted: Not applicable</w:t>
      </w:r>
    </w:p>
    <w:p>
      <w:pPr>
        <w:pStyle w:val="Titre2"/>
      </w:pPr>
      <w:r>
        <w:t xml:space="preserve">D4 judgement / rationale</w:t>
      </w:r>
    </w:p>
    <w:p>
      <w:pPr>
        <w:pStyle w:val="ManuscriptBody"/>
      </w:pPr>
      <w:r>
        <w:t xml:space="preserve">ARBITER: Proposed: Low; adopted: Low</w:t>
      </w:r>
    </w:p>
    <w:p>
      <w:pPr>
        <w:pStyle w:val="ManuscriptBody"/>
      </w:pPr>
      <w:r>
        <w:t xml:space="preserve">Unassisted: Low
Death is an objective outcome. Assessors were not blinded to allocation, but this cannot plausibly bias an all-cause death count.</w:t>
      </w:r>
    </w:p>
    <w:p>
      <w:pPr/>
      <w:r>
        <w:br w:type="page"/>
      </w:r>
    </w:p>
    <w:p>
      <w:pPr>
        <w:pStyle w:val="Titre2"/>
      </w:pPr>
      <w:r>
        <w:t xml:space="preserve">4.1 Inappropriate measurement method</w:t>
      </w:r>
    </w:p>
    <w:p>
      <w:pPr>
        <w:pStyle w:val="ManuscriptBody"/>
      </w:pPr>
      <w:r>
        <w:t xml:space="preserve">ARBITER: Probably no</w:t>
      </w:r>
    </w:p>
    <w:p>
      <w:pPr>
        <w:pStyle w:val="ManuscriptBody"/>
      </w:pPr>
      <w:r>
        <w:t xml:space="preserve">Evidence handles (type): eh_3ce4199af9d487f3 (direct support)</w:t>
      </w:r>
    </w:p>
    <w:p>
      <w:pPr>
        <w:pStyle w:val="ManuscriptBody"/>
      </w:pPr>
      <w:r>
        <w:t xml:space="preserve">Justification: All-cause death is a pre-specified, objective event ascertained through scheduled follow-up (6-monthly in year 1, then yearly), phone contact when in-person visits were not possible, and review of medical records for any registered event. Nothing suggests an insensitive method or an instrument with poor validity.</w:t>
      </w:r>
    </w:p>
    <w:p>
      <w:pPr>
        <w:pStyle w:val="ManuscriptBody"/>
      </w:pPr>
      <w:r>
        <w:t xml:space="preserve">Unknowns: —</w:t>
      </w:r>
    </w:p>
    <w:p>
      <w:pPr>
        <w:pStyle w:val="ManuscriptBody"/>
      </w:pPr>
      <w:r>
        <w:t xml:space="preserve">Counterevidence: —</w:t>
      </w:r>
    </w:p>
    <w:p>
      <w:pPr>
        <w:pStyle w:val="ManuscriptBody"/>
      </w:pPr>
      <w:r>
        <w:t xml:space="preserve">Unassisted: No</w:t>
      </w:r>
    </w:p>
    <w:p>
      <w:pPr>
        <w:pStyle w:val="Titre2"/>
      </w:pPr>
      <w:r>
        <w:t xml:space="preserve">4.2 Measurement differs across groups</w:t>
      </w:r>
    </w:p>
    <w:p>
      <w:pPr>
        <w:pStyle w:val="ManuscriptBody"/>
      </w:pPr>
      <w:r>
        <w:t xml:space="preserve">ARBITER: Probably no</w:t>
      </w:r>
    </w:p>
    <w:p>
      <w:pPr>
        <w:pStyle w:val="ManuscriptBody"/>
      </w:pPr>
      <w:r>
        <w:t xml:space="preserve">Evidence handles (type): eh_3ce4199af9d487f3 (direct support)</w:t>
      </w:r>
    </w:p>
    <w:p>
      <w:pPr>
        <w:pStyle w:val="ManuscriptBody"/>
      </w:pPr>
      <w:r>
        <w:t xml:space="preserve">Justification: Both arms followed the same protocol schedule, and COVID-related phone follow-up applied to patients regardless of arm. Death is hard to miss, so any difference in contact opportunities (e.g. surgery visits) is unlikely to change ascertainment of death.</w:t>
      </w:r>
    </w:p>
    <w:p>
      <w:pPr>
        <w:pStyle w:val="ManuscriptBody"/>
      </w:pPr>
      <w:r>
        <w:t xml:space="preserve">Unknowns: Whether vital status was verified from registries in both arms is not stated.</w:t>
      </w:r>
    </w:p>
    <w:p>
      <w:pPr>
        <w:pStyle w:val="ManuscriptBody"/>
      </w:pPr>
      <w:r>
        <w:t xml:space="preserve">Counterevidence: —</w:t>
      </w:r>
    </w:p>
    <w:p>
      <w:pPr>
        <w:pStyle w:val="ManuscriptBody"/>
      </w:pPr>
      <w:r>
        <w:t xml:space="preserve">Unassisted: No</w:t>
      </w:r>
    </w:p>
    <w:p>
      <w:pPr/>
      <w:r>
        <w:br w:type="page"/>
      </w:r>
    </w:p>
    <w:p>
      <w:pPr>
        <w:pStyle w:val="Titre2"/>
      </w:pPr>
      <w:r>
        <w:t xml:space="preserve">4.3 Assessors aware of received intervention</w:t>
      </w:r>
    </w:p>
    <w:p>
      <w:pPr>
        <w:pStyle w:val="ManuscriptBody"/>
      </w:pPr>
      <w:r>
        <w:t xml:space="preserve">ARBITER: Yes</w:t>
      </w:r>
    </w:p>
    <w:p>
      <w:pPr>
        <w:pStyle w:val="ManuscriptBody"/>
      </w:pPr>
      <w:r>
        <w:t xml:space="preserve">Evidence handles (type): eh_3ce4199af9d487f3 (direct support)</w:t>
      </w:r>
    </w:p>
    <w:p>
      <w:pPr>
        <w:pStyle w:val="ManuscriptBody"/>
      </w:pPr>
      <w:r>
        <w:t xml:space="preserve">Justification: The trial was open-label (registry masking: none), and the report states that DSMB members were not blinded to allocation when reviewing events. Site investigators recording deaths were also aware of the allocation.</w:t>
      </w:r>
    </w:p>
    <w:p>
      <w:pPr>
        <w:pStyle w:val="ManuscriptBody"/>
      </w:pPr>
      <w:r>
        <w:t xml:space="preserve">Unknowns: —</w:t>
      </w:r>
    </w:p>
    <w:p>
      <w:pPr>
        <w:pStyle w:val="ManuscriptBody"/>
      </w:pPr>
      <w:r>
        <w:t xml:space="preserve">Counterevidence: —</w:t>
      </w:r>
    </w:p>
    <w:p>
      <w:pPr>
        <w:pStyle w:val="ManuscriptBody"/>
      </w:pPr>
      <w:r>
        <w:t xml:space="preserve">Unassisted: Not applicable</w:t>
      </w:r>
    </w:p>
    <w:p>
      <w:pPr>
        <w:pStyle w:val="Titre2"/>
      </w:pPr>
      <w:r>
        <w:t xml:space="preserve">4.4 Assessment potentially influenced by awareness</w:t>
      </w:r>
    </w:p>
    <w:p>
      <w:pPr>
        <w:pStyle w:val="ManuscriptBody"/>
      </w:pPr>
      <w:r>
        <w:t xml:space="preserve">ARBITER: Probably no</w:t>
      </w:r>
    </w:p>
    <w:p>
      <w:pPr>
        <w:pStyle w:val="ManuscriptBody"/>
      </w:pPr>
      <w:r>
        <w:t xml:space="preserve">Evidence handles (type): eh_3ce4199af9d487f3 (inference)</w:t>
      </w:r>
    </w:p>
    <w:p>
      <w:pPr>
        <w:pStyle w:val="ManuscriptBody"/>
      </w:pPr>
      <w:r>
        <w:t xml:space="preserve">Justification: All-cause death is an observer-reported outcome that involves no judgement, so knowledge of the intervention is unlikely to influence its assessment, even though the assessors were aware of the allocation.</w:t>
      </w:r>
    </w:p>
    <w:p>
      <w:pPr>
        <w:pStyle w:val="ManuscriptBody"/>
      </w:pPr>
      <w:r>
        <w:t xml:space="preserve">Unknowns: —</w:t>
      </w:r>
    </w:p>
    <w:p>
      <w:pPr>
        <w:pStyle w:val="ManuscriptBody"/>
      </w:pPr>
      <w:r>
        <w:t xml:space="preserve">Counterevidence: —</w:t>
      </w:r>
    </w:p>
    <w:p>
      <w:pPr>
        <w:pStyle w:val="ManuscriptBody"/>
      </w:pPr>
      <w:r>
        <w:t xml:space="preserve">Unassisted: Not applicable</w:t>
      </w:r>
    </w:p>
    <w:p>
      <w:pPr/>
      <w:r>
        <w:br w:type="page"/>
      </w:r>
    </w:p>
    <w:p>
      <w:pPr>
        <w:pStyle w:val="Titre2"/>
      </w:pPr>
      <w:r>
        <w:t xml:space="preserve">4.5 Assessment likely influenced by awareness</w:t>
      </w:r>
    </w:p>
    <w:p>
      <w:pPr>
        <w:pStyle w:val="ManuscriptBody"/>
      </w:pPr>
      <w:r>
        <w:t xml:space="preserve">ARBITER: Not asked (inactive; branching)</w:t>
      </w:r>
    </w:p>
    <w:p>
      <w:pPr>
        <w:pStyle w:val="ManuscriptBody"/>
      </w:pPr>
      <w:r>
        <w:t xml:space="preserve">Unassisted: Not applicable</w:t>
      </w:r>
    </w:p>
    <w:p>
      <w:pPr>
        <w:pStyle w:val="Titre2"/>
      </w:pPr>
      <w:r>
        <w:t xml:space="preserve">D5 judgement / rationale</w:t>
      </w:r>
    </w:p>
    <w:p>
      <w:pPr>
        <w:pStyle w:val="ManuscriptBody"/>
      </w:pPr>
      <w:r>
        <w:t xml:space="preserve">ARBITER: Proposed: Some concerns; adopted: Some concerns</w:t>
      </w:r>
    </w:p>
    <w:p>
      <w:pPr>
        <w:pStyle w:val="ManuscriptBody"/>
      </w:pPr>
      <w:r>
        <w:t xml:space="preserve">Unassisted: Low
Time to death was a prespecified secondary endpoint with a registered 5-year time frame. It was analysed with a single Cox model, and the SAP amendment only addresses COVID-19 delays. I found no sign of selective reporting. A small concern is that the extended follow-up was a later analysis, but it matches the registered time frame.</w:t>
      </w:r>
    </w:p>
    <w:p>
      <w:pPr/>
      <w:r>
        <w:br w:type="page"/>
      </w:r>
    </w:p>
    <w:p>
      <w:pPr>
        <w:pStyle w:val="Titre2"/>
      </w:pPr>
      <w:r>
        <w:t xml:space="preserve">5.1 Analysis plan finalised before unblinding</w:t>
      </w:r>
    </w:p>
    <w:p>
      <w:pPr>
        <w:pStyle w:val="ManuscriptBody"/>
      </w:pPr>
      <w:r>
        <w:t xml:space="preserve">ARBITER: No information</w:t>
      </w:r>
    </w:p>
    <w:p>
      <w:pPr>
        <w:pStyle w:val="ManuscriptBody"/>
      </w:pPr>
      <w:r>
        <w:t xml:space="preserve">Evidence handles (type): eh_d54a2600ddc753b3 (context); eh_7ad155913c1c5826 (context); eh_30fa222ec5523dcc (context); eh_7961ea6680167af2 (context)</w:t>
      </w:r>
    </w:p>
    <w:p>
      <w:pPr>
        <w:pStyle w:val="ManuscriptBody"/>
      </w:pPr>
      <w:r>
        <w:t xml:space="preserve">Justification: The registry entry (first submitted 30 Apr 2015, before enrolment began in June 2015) names all-cause death only as a component of composite outcomes. It does not list time to all-cause death as a separate outcome. The Circulation 2022 and EHJ 2024 reports describe 'time to death' as a prespecified secondary end point analysed with Kaplan-Meier and Cox models, citing a published protocol. That protocol is not among the captured Sources, and the report statements are not date-stamped before unblinded data. The only SAP-type document is an amendment dated 4 Jan 2021 about COVID surgical delays. No dated source therefore specifies this measurement and analysis.</w:t>
      </w:r>
    </w:p>
    <w:p>
      <w:pPr>
        <w:pStyle w:val="ManuscriptBody"/>
      </w:pPr>
      <w:r>
        <w:t xml:space="preserve">Unknowns: Whether the published protocol listed time to all-cause death and its Cox analysis, and its date relative to unblinded data.</w:t>
      </w:r>
    </w:p>
    <w:p>
      <w:pPr>
        <w:pStyle w:val="ManuscriptBody"/>
      </w:pPr>
      <w:r>
        <w:t xml:space="preserve">Counterevidence: —</w:t>
      </w:r>
    </w:p>
    <w:p>
      <w:pPr>
        <w:pStyle w:val="ManuscriptBody"/>
      </w:pPr>
      <w:r>
        <w:t xml:space="preserve">Unassisted: Probably yes</w:t>
      </w:r>
    </w:p>
    <w:p>
      <w:pPr>
        <w:pStyle w:val="Titre2"/>
      </w:pPr>
      <w:r>
        <w:t xml:space="preserve">5.2 Result selected from eligible outcome measurements</w:t>
      </w:r>
    </w:p>
    <w:p>
      <w:pPr>
        <w:pStyle w:val="ManuscriptBody"/>
      </w:pPr>
      <w:r>
        <w:t xml:space="preserve">ARBITER: Probably no</w:t>
      </w:r>
    </w:p>
    <w:p>
      <w:pPr>
        <w:pStyle w:val="ManuscriptBody"/>
      </w:pPr>
      <w:r>
        <w:t xml:space="preserve">Evidence handles (type): eh_30fa222ec5523dcc (direct support); eh_d54a2600ddc753b3 (context)</w:t>
      </w:r>
    </w:p>
    <w:p>
      <w:pPr>
        <w:pStyle w:val="ManuscriptBody"/>
      </w:pPr>
      <w:r>
        <w:t xml:space="preserve">Justification: All-cause death is a single, unambiguous event, so there is essentially one way to measure the outcome domain. The registered time frames were 36 months and 5 years. The 2024 report states that all-cause death was analysed over the full follow-up and also restricted to 3 years, so no eligible time point appears to have been omitted in favour of a more favourable one.</w:t>
      </w:r>
    </w:p>
    <w:p>
      <w:pPr>
        <w:pStyle w:val="ManuscriptBody"/>
      </w:pPr>
      <w:r>
        <w:t xml:space="preserve">Unknowns: —</w:t>
      </w:r>
    </w:p>
    <w:p>
      <w:pPr>
        <w:pStyle w:val="ManuscriptBody"/>
      </w:pPr>
      <w:r>
        <w:t xml:space="preserve">Counterevidence: —</w:t>
      </w:r>
    </w:p>
    <w:p>
      <w:pPr>
        <w:pStyle w:val="ManuscriptBody"/>
      </w:pPr>
      <w:r>
        <w:t xml:space="preserve">Unassisted: Probably no</w:t>
      </w:r>
    </w:p>
    <w:p>
      <w:pPr/>
      <w:r>
        <w:br w:type="page"/>
      </w:r>
    </w:p>
    <w:p>
      <w:pPr>
        <w:pStyle w:val="Titre2"/>
      </w:pPr>
      <w:r>
        <w:t xml:space="preserve">5.3 Result selected from eligible analyses</w:t>
      </w:r>
    </w:p>
    <w:p>
      <w:pPr>
        <w:pStyle w:val="ManuscriptBody"/>
      </w:pPr>
      <w:r>
        <w:t xml:space="preserve">ARBITER: Probably no</w:t>
      </w:r>
    </w:p>
    <w:p>
      <w:pPr>
        <w:pStyle w:val="ManuscriptBody"/>
      </w:pPr>
      <w:r>
        <w:t xml:space="preserve">Evidence handles (type): eh_30fa222ec5523dcc (direct support); eh_f625637d366df2a0 (context)</w:t>
      </w:r>
    </w:p>
    <w:p>
      <w:pPr>
        <w:pStyle w:val="ManuscriptBody"/>
      </w:pPr>
      <w:r>
        <w:t xml:space="preserve">Justification: Time-to-event secondary outcomes were analysed with the same Kaplan-Meier, log-rank and Cox model (treatment only) used for the primary outcome, and the same method was used in the 2022 paper. No covariate-adjusted or alternative models are described, and the long-term and 3-year analyses are both reported.</w:t>
      </w:r>
    </w:p>
    <w:p>
      <w:pPr>
        <w:pStyle w:val="ManuscriptBody"/>
      </w:pPr>
      <w:r>
        <w:t xml:space="preserve">Unknowns: —</w:t>
      </w:r>
    </w:p>
    <w:p>
      <w:pPr>
        <w:pStyle w:val="ManuscriptBody"/>
      </w:pPr>
      <w:r>
        <w:t xml:space="preserve">Counterevidence: —</w:t>
      </w:r>
    </w:p>
    <w:p>
      <w:pPr>
        <w:pStyle w:val="ManuscriptBody"/>
      </w:pPr>
      <w:r>
        <w:t xml:space="preserve">Unassisted: Probably no</w:t>
      </w:r>
    </w:p>
    <w:p>
      <w:pPr>
        <w:pStyle w:val="Titre2"/>
      </w:pPr>
      <w:r>
        <w:t xml:space="preserve">Overall</w:t>
      </w:r>
    </w:p>
    <w:p>
      <w:pPr>
        <w:pStyle w:val="ManuscriptBody"/>
      </w:pPr>
      <w:r>
        <w:t xml:space="preserve">ARBITER: Proposed: Some concerns; adopted: Some concerns</w:t>
      </w:r>
    </w:p>
    <w:p>
      <w:pPr>
        <w:pStyle w:val="ManuscriptBody"/>
      </w:pPr>
      <w:r>
        <w:t xml:space="preserve">Justification: Any domain Some concerns, with no High domain: Overall Some concerns.</w:t>
      </w:r>
    </w:p>
    <w:p>
      <w:pPr>
        <w:pStyle w:val="ManuscriptBody"/>
      </w:pPr>
      <w:r>
        <w:t xml:space="preserve">Unassisted: Low</w:t>
      </w:r>
    </w:p>
    <w:p>
      <w:pPr>
        <w:pStyle w:val="Titre2"/>
      </w:pPr>
      <w:r>
        <w:t xml:space="preserve">Part B. Evidence records</w:t>
      </w:r>
    </w:p>
    <w:p>
      <w:pPr>
        <w:pStyle w:val="Titre2"/>
      </w:pPr>
      <w:r>
        <w:t xml:space="preserve">eh_05e667d2d41d3858</w:t>
      </w:r>
    </w:p>
    <w:p>
      <w:pPr>
        <w:pStyle w:val="ManuscriptBody"/>
      </w:pPr>
      <w:r>
        <w:t xml:space="preserve">Source: AVATAR long-term follow-up report</w:t>
      </w:r>
    </w:p>
    <w:p>
      <w:pPr>
        <w:pStyle w:val="ManuscriptBody"/>
      </w:pPr>
      <w:r>
        <w:t xml:space="preserve">Page: 9</w:t>
      </w:r>
    </w:p>
    <w:p>
      <w:pPr>
        <w:pStyle w:val="ManuscriptBody"/>
      </w:pPr>
      <w:r>
        <w:t xml:space="preserve">Lines: 76–83</w:t>
      </w:r>
    </w:p>
    <w:p>
      <w:pPr>
        <w:pStyle w:val="ManuscriptBody"/>
      </w:pPr>
      <w:r>
        <w:t xml:space="preserve">Source-version hash: a890f771fd05</w:t>
      </w:r>
    </w:p>
    <w:p>
      <w:pPr>
        <w:pStyle w:val="ManuscriptBody"/>
      </w:pPr>
      <w:r>
        <w:t xml:space="preserve">Full verbatim quote: follow-up and lengthening AVR delays. Pre-defined physical visits were
substituted by phone follow-up. Such surveillance within the watchful
waiting may hypothetically impact timely detection of symptoms conse
quently leading to increased clinical risk, including sudden death.
Nevertheless, in the conservative group, none of the patients experi
enced MACE or died while awaiting the scheduled surgery. It is of
note that in the small number of patients undergoing TAVR, delays ap
peared shorter as compared with the surgical intervention.</w:t>
      </w:r>
    </w:p>
    <w:p>
      <w:pPr>
        <w:pStyle w:val="Titre2"/>
      </w:pPr>
      <w:r>
        <w:t xml:space="preserve">eh_22d01d9384e1a677</w:t>
      </w:r>
    </w:p>
    <w:p>
      <w:pPr>
        <w:pStyle w:val="ManuscriptBody"/>
      </w:pPr>
      <w:r>
        <w:t xml:space="preserve">Source: Current registry-linked statistical analysis plan</w:t>
      </w:r>
    </w:p>
    <w:p>
      <w:pPr>
        <w:pStyle w:val="ManuscriptBody"/>
      </w:pPr>
      <w:r>
        <w:t xml:space="preserve">Page: 2</w:t>
      </w:r>
    </w:p>
    <w:p>
      <w:pPr>
        <w:pStyle w:val="ManuscriptBody"/>
      </w:pPr>
      <w:r>
        <w:t xml:space="preserve">Lines: 1–12</w:t>
      </w:r>
    </w:p>
    <w:p>
      <w:pPr>
        <w:pStyle w:val="ManuscriptBody"/>
      </w:pPr>
      <w:r>
        <w:t xml:space="preserve">Source-version hash: ba0a93294998</w:t>
      </w:r>
    </w:p>
    <w:p>
      <w:pPr>
        <w:pStyle w:val="ManuscriptBody"/>
      </w:pPr>
      <w:r>
        <w:t xml:space="preserve">Full verbatim quote: Amendmen to statystical analysis
1. Patients randomized to AVR surgery who received delayed surgery
(more than 8 weeks after randomization) due to COVID -19 public
health emergency will be documented and this delay will be defined
as an anticipated minor deviation from the clinical protocol
2. Appropriate statistical procedures will be performed and results
will be published according to the FDA guidance "Conduct of Clinical
Trials of Medical Products During the COVID-19 Public Health
Emergency Guidance for Industry, investigators, and Institutional
Review Boards"</w:t>
      </w:r>
    </w:p>
    <w:p>
      <w:pPr/>
      <w:r>
        <w:br w:type="page"/>
      </w:r>
    </w:p>
    <w:p>
      <w:pPr>
        <w:pStyle w:val="Titre2"/>
      </w:pPr>
      <w:r>
        <w:t xml:space="preserve">eh_30fa222ec5523dcc</w:t>
      </w:r>
    </w:p>
    <w:p>
      <w:pPr>
        <w:pStyle w:val="ManuscriptBody"/>
      </w:pPr>
      <w:r>
        <w:t xml:space="preserve">Source: AVATAR long-term follow-up report</w:t>
      </w:r>
    </w:p>
    <w:p>
      <w:pPr>
        <w:pStyle w:val="ManuscriptBody"/>
      </w:pPr>
      <w:r>
        <w:t xml:space="preserve">Page: 5</w:t>
      </w:r>
    </w:p>
    <w:p>
      <w:pPr>
        <w:pStyle w:val="ManuscriptBody"/>
      </w:pPr>
      <w:r>
        <w:t xml:space="preserve">Lines: 13–24</w:t>
      </w:r>
    </w:p>
    <w:p>
      <w:pPr>
        <w:pStyle w:val="ManuscriptBody"/>
      </w:pPr>
      <w:r>
        <w:t xml:space="preserve">Source-version hash: a890f771fd05</w:t>
      </w:r>
    </w:p>
    <w:p>
      <w:pPr>
        <w:pStyle w:val="ManuscriptBody"/>
      </w:pPr>
      <w:r>
        <w:t xml:space="preserve">Full verbatim quote: Statistical analysis
We conducted all analyses according to the intention-to-treat principle,
where all patients were included in the analysis as they were randomized.
For the analysis of the primary outcome, we built a Kaplan-Meier graph
with a log rank P-value to test for a difference between early surgery and
control intervention at a two-sided α value of 0.05 and used a Cox propor
tional hazards model to derive hazard ratios (HRs) with 95% confidence in
tervals (CIs) for treatment effect estimation.
Time-to-event secondary outcomes were analysed using the same meth
ods applied for the analysis of the primary outcome. For MACE, all-cause
death, HF hospitalization, and cardiovascular death, we repeated the ana
lysis as described above restricted to a 3-year follow-up, with complete</w:t>
      </w:r>
    </w:p>
    <w:p>
      <w:pPr>
        <w:pStyle w:val="Titre2"/>
      </w:pPr>
      <w:r>
        <w:t xml:space="preserve">eh_3ce4199af9d487f3</w:t>
      </w:r>
    </w:p>
    <w:p>
      <w:pPr>
        <w:pStyle w:val="ManuscriptBody"/>
      </w:pPr>
      <w:r>
        <w:t xml:space="preserve">Source: AVATAR long-term follow-up report</w:t>
      </w:r>
    </w:p>
    <w:p>
      <w:pPr>
        <w:pStyle w:val="ManuscriptBody"/>
      </w:pPr>
      <w:r>
        <w:t xml:space="preserve">Page: 3</w:t>
      </w:r>
    </w:p>
    <w:p>
      <w:pPr>
        <w:pStyle w:val="ManuscriptBody"/>
      </w:pPr>
      <w:r>
        <w:t xml:space="preserve">Lines: 1–116</w:t>
      </w:r>
    </w:p>
    <w:p>
      <w:pPr>
        <w:pStyle w:val="ManuscriptBody"/>
      </w:pPr>
      <w:r>
        <w:t xml:space="preserve">Source-version hash: a890f771fd05</w:t>
      </w:r>
    </w:p>
    <w:p>
      <w:pPr>
        <w:pStyle w:val="ManuscriptBody"/>
      </w:pPr>
      <w:r>
        <w:t xml:space="preserve">Full verbatim quote: Introduction
Aortic stenosis (AS) is the single most common valvular heart disease re
quiring intervention in developed countries and is projected to double by
2050 in both the USA and Europe.1 The approach to symptomatic pa
tients with severe AS is straightforward. Surgical aortic valve replacement
(AVR) and, more recently, transcatheter aortic valve implantation (TAVI)
procedures are Class I recommendation to relieve symptoms and im
prove survival in symptomatic patients with severe AS.2,3
Conversely, the question of when and how to treat truly asymptom
atic patients with severe AS and normal left ventricular (LV) systolic
function is still subject to debate and ongoing research. To date, two
randomized trials have demonstrated benefit of early AVR in compari
son with conservative strategy in asymptomatic patients with severe
and very severe AS patients.4,5 In addition, there are several ongoing
randomized trials investigating the role of early TAVI and/or early sur
gical AVR in asymptomatic AS.
The Aortic Valve Replacement Versus Conservative Treatment in
Asymptomatic Severe Aortic Stenosis (AVATAR) trial is an investigator-
initiated, prospective, multinational, randomized, controlled, parallel-group,
event-driven trial that compared the safety and efficacy of early surgery in
the treatment of truly asymptomatic patients with severe AS and LV ejec
tion fraction (LVEF) ≥ 50% vs. conservative treatment with watchful wait
ing strategy and AVR only after symptom onset, or other guidelines
directed Class I or II indications for AVR.3,6 In the primary analysis of the
AVATAR trial, asymptomatic AS patients randomized to early surgery
had a lower incidence of the composite primary outcome comprising all-
cause death, acute myocardial infarction, stroke, or unplanned hospitaliza
tion for heart failure (HF), compared with patients who were randomized
to conservative treatment.5 We now report the results of the AVATAR
trial after extended follow-up at 5 years.
Methods
Study design and oversight
The AVATAR trial (ClinicalTrials.gov identifier NCT02436655) protocol
and protocol update were designed by the first co-authors and steering
committee co-chairmen and was approved by the steering committee of
the AVATAR trial.7,8 The clinical and outcomes data were collected by per
sonnel at the participating sites and were sent directly to the data coordinat
ing centre at the University Clinical Center of Serbia. No extramural funding
was used to support this work. The authors, members of the steering com
mittee, and investigators are solely responsible for the design and conduct of
this trial, all analyses, drafting and editing of the article, and its final contents.
Independent statistician conducted the long-term data analyses.
The trial was conducted in accordance with the Declaration of Helsinki. All
participants provided written informed consent. An independent data and
safety monitoring board (DSMB) adjudicated all serious adverse events and
oversaw the safety of the trial. The article was prepared by the first author
and steering committee co-chairmen and was reviewed and edited by mem
bers of the steering committee and authors. All authors reviewed the article,
approved its submission for publication, and vouched for the accuracy and
completeness of the data and for the fidelity of the trial to the protocol.
Study population
The study inclusion and exclusion criteria are shown in Table 1; trial flowchart
is shown in Figure 1. Briefly, a total of 157 patients with severe AS according to
the guidelines were enrolled in the trial: 79 were randomized to conservative
treatment and 78 were randomized to early surgery. To prove truly asymp
tomatic status, exercise testing was performed in all candidates to evaluate
symptom status according to a standardized protocol using treadmill or semi-
supine ergo-bicycle. To consider exercise testing negative, which was manda
tory for inclusion, all candidates needed to reach a projected submaximal
heart rate. Positive exercise test included onset of AS-related symptoms,
fall in systolic blood pressure (≥20 mmHg from the baseline values), or
Electrocardiography (ECG) or stress echocardiography signs of myocardial
ischaemia.9
Follow-up and trial endpoints
Patients were followed according to the protocol every 6 months for the
first year and then yearly with the in-person visits at the participating study
centre. As the trial was affected by the Covid-19 pandemic, contact with
patients who could not come in person was made by phone. For any event
that was registered, the medical records were asked for and reviewed.
Adverse clinical events were adjudicated by the DSMB per protocol defini
tions.7,8 Data and safety monitoring board members were not blinded to
the treatment allocation during events review. They adjudicated the events
by consensus.
Table 1 Eligibility inclusion/exclusion criteria
Inclusion criteria
• Men and women of any ethnic origin aged ≥18 years
• Written informed consent
• Vmax across the aortic valve &gt; 4 m/s or P mean ≥ 40 mmHg and AVA ≤
1 cm2 or AVAi ≤ 0.6 cm2/m2 at rest
• Without reported symptoms
• Society of Thoracic Surgeons score &lt; 8%
Exclusion criteria
Participation in another clinical trial within 30 days prior to
randomization
• Pregnant or nursing women
• Mental condition rendering the patient unable to understand the
nature, scope, and possible consequences of the study or to follow the
protocol
• Positive stress-test defined as follows:
(a)
Anginal chest pain during testing
(b)
Syncope or dizziness during testing
(c)
Decrease in systolic blood pressure during exercise ≥ 20 mmHg
(d)
Malignant arrhythmia during exercise testing (VT or VF)
• Left ventricular ejection fraction &lt; 50% at rest
• Very severe AS defined as Vmax &gt; 5.5 m/s at rest
• Significant disease of other valves: mitral stenosis with Pmean &gt; 5 mg, or
any significant regurgitation ≥ 3+
• Recent previous myocardial infarction (&lt;1 year)
• Need for additional aortic root replacement (i.e. Bentall) or ascending
aorta surgery in asymptomatic patients undergoing AVR
• Previous coronary bypass surgery
• Previous any heart valve surgery
• Impaired renal function, i.e. creatinine &gt; 200 μmol/L or glomerular
filtration rate &lt; 30 mL/min/1.73 m2
• Significant pulmonary hypertension at rest (systolic pulmonary artery
pressure &gt; 50 mmHg)
• Uncontrolled hypertension at rest (systolic blood pressure &gt;
180 mmHg and diastolic blood pressure &gt; 100 mmHg)
• Significant comorbidity with reduced life expectancy (&lt;3 years)
• Uncontrolled diabetes mellitus (HbA1c &gt; 9%)
• Significant chronic obstructive pulmonary disease (FEV1 &lt; 70% of
predicted value)</w:t>
      </w:r>
    </w:p>
    <w:p>
      <w:pPr/>
      <w:r>
        <w:br w:type="page"/>
      </w:r>
    </w:p>
    <w:p>
      <w:pPr>
        <w:pStyle w:val="Titre2"/>
      </w:pPr>
      <w:r>
        <w:t xml:space="preserve">eh_4b5761bf573cc287</w:t>
      </w:r>
    </w:p>
    <w:p>
      <w:pPr>
        <w:pStyle w:val="ManuscriptBody"/>
      </w:pPr>
      <w:r>
        <w:t xml:space="preserve">Source: AVATAR original trial report</w:t>
      </w:r>
    </w:p>
    <w:p>
      <w:pPr>
        <w:pStyle w:val="ManuscriptBody"/>
      </w:pPr>
      <w:r>
        <w:t xml:space="preserve">Page: 4</w:t>
      </w:r>
    </w:p>
    <w:p>
      <w:pPr>
        <w:pStyle w:val="ManuscriptBody"/>
      </w:pPr>
      <w:r>
        <w:t xml:space="preserve">Lines: 8–15</w:t>
      </w:r>
    </w:p>
    <w:p>
      <w:pPr>
        <w:pStyle w:val="ManuscriptBody"/>
      </w:pPr>
      <w:r>
        <w:t xml:space="preserve">Source-version hash: 592b9a6c531c</w:t>
      </w:r>
    </w:p>
    <w:p>
      <w:pPr>
        <w:pStyle w:val="ManuscriptBody"/>
      </w:pPr>
      <w:r>
        <w:t xml:space="preserve">Full verbatim quote: Patients in the conservative treatment group were referred
for surgery in case of onset of AS-related symptoms, if the
LVEF decreased to &lt;50%, or if the peak aortic jet velocity
increased each year by &gt;0.3 m/s on follow-up echocardiog-
raphy, according to European Society of Cardiology guide-
lines on valvular disease at the time the study was designed.11
Conservative treatment included the treatment of risk factors
and comorbidities.</w:t>
      </w:r>
    </w:p>
    <w:p>
      <w:pPr>
        <w:pStyle w:val="Titre2"/>
      </w:pPr>
      <w:r>
        <w:t xml:space="preserve">eh_58abdac52262aa33</w:t>
      </w:r>
    </w:p>
    <w:p>
      <w:pPr>
        <w:pStyle w:val="ManuscriptBody"/>
      </w:pPr>
      <w:r>
        <w:t xml:space="preserve">Source: AVATAR long-term follow-up report</w:t>
      </w:r>
    </w:p>
    <w:p>
      <w:pPr>
        <w:pStyle w:val="ManuscriptBody"/>
      </w:pPr>
      <w:r>
        <w:t xml:space="preserve">Page: 5</w:t>
      </w:r>
    </w:p>
    <w:p>
      <w:pPr>
        <w:pStyle w:val="ManuscriptBody"/>
      </w:pPr>
      <w:r>
        <w:t xml:space="preserve">Lines: 47–50</w:t>
      </w:r>
    </w:p>
    <w:p>
      <w:pPr>
        <w:pStyle w:val="ManuscriptBody"/>
      </w:pPr>
      <w:r>
        <w:t xml:space="preserve">Source-version hash: a890f771fd05</w:t>
      </w:r>
    </w:p>
    <w:p>
      <w:pPr>
        <w:pStyle w:val="ManuscriptBody"/>
      </w:pPr>
      <w:r>
        <w:t xml:space="preserve">Full verbatim quote: Diabetes mellitus
14 (17.9%)
23 (29.1%)
.07</w:t>
      </w:r>
    </w:p>
    <w:p>
      <w:pPr/>
      <w:r>
        <w:br w:type="page"/>
      </w:r>
    </w:p>
    <w:p>
      <w:pPr>
        <w:pStyle w:val="Titre2"/>
      </w:pPr>
      <w:r>
        <w:t xml:space="preserve">eh_7961ea6680167af2</w:t>
      </w:r>
    </w:p>
    <w:p>
      <w:pPr>
        <w:pStyle w:val="ManuscriptBody"/>
      </w:pPr>
      <w:r>
        <w:t xml:space="preserve">Source: Current registry-linked statistical analysis plan</w:t>
      </w:r>
    </w:p>
    <w:p>
      <w:pPr>
        <w:pStyle w:val="ManuscriptBody"/>
      </w:pPr>
      <w:r>
        <w:t xml:space="preserve">Page: 1</w:t>
      </w:r>
    </w:p>
    <w:p>
      <w:pPr>
        <w:pStyle w:val="ManuscriptBody"/>
      </w:pPr>
      <w:r>
        <w:t xml:space="preserve">Lines: 1–8</w:t>
      </w:r>
    </w:p>
    <w:p>
      <w:pPr>
        <w:pStyle w:val="ManuscriptBody"/>
      </w:pPr>
      <w:r>
        <w:t xml:space="preserve">Source-version hash: ba0a93294998</w:t>
      </w:r>
    </w:p>
    <w:p>
      <w:pPr>
        <w:pStyle w:val="ManuscriptBody"/>
      </w:pPr>
      <w:r>
        <w:t xml:space="preserve">Full verbatim quote: Avatar trial protocol
-Amendment to surgical delays-
Aortic Valve Replacement Versus Conservative Treatment in
Asymptomatic Severe Aortic Stenosis (AVATAR trial)
NCT number : NCT02436655.
Date of amendment: 04.01.2021</w:t>
      </w:r>
    </w:p>
    <w:p>
      <w:pPr>
        <w:pStyle w:val="Titre2"/>
      </w:pPr>
      <w:r>
        <w:t xml:space="preserve">eh_7ad155913c1c5826</w:t>
      </w:r>
    </w:p>
    <w:p>
      <w:pPr>
        <w:pStyle w:val="ManuscriptBody"/>
      </w:pPr>
      <w:r>
        <w:t xml:space="preserve">Source: AVATAR original trial report</w:t>
      </w:r>
    </w:p>
    <w:p>
      <w:pPr>
        <w:pStyle w:val="ManuscriptBody"/>
      </w:pPr>
      <w:r>
        <w:t xml:space="preserve">Page: 4</w:t>
      </w:r>
    </w:p>
    <w:p>
      <w:pPr>
        <w:pStyle w:val="ManuscriptBody"/>
      </w:pPr>
      <w:r>
        <w:t xml:space="preserve">Lines: 16–35</w:t>
      </w:r>
    </w:p>
    <w:p>
      <w:pPr>
        <w:pStyle w:val="ManuscriptBody"/>
      </w:pPr>
      <w:r>
        <w:t xml:space="preserve">Source-version hash: 592b9a6c531c</w:t>
      </w:r>
    </w:p>
    <w:p>
      <w:pPr>
        <w:pStyle w:val="ManuscriptBody"/>
      </w:pPr>
      <w:r>
        <w:t xml:space="preserve">Full verbatim quote: Trial End Points
The primary end point was a composite of all-cause mortality
or major adverse cardiovascular events (MACEs) composed of
acute myocardial infarction, stroke, and unplanned HF hospital-
ization needing intravenous treatment with diuretics or inotro-
pes. Prespecified secondary end points included the following:
• In-hospital and 30-day postoperative mortality in oper-
ated patients in both groups
• Repeat aortic valve surgery in operated patients in both
groups
• Repeated MACEs, including stroke, acute myocardial
infarction, or unplanned HF hospitalization needing IV
diuretic treatment
• Major bleeding defined as types 3, 4, and 5 according
to the consensus report from the Bleeding Academic
Research Consortium13
• Thromboembolic complications on the basis of clinical
symptoms, signs, and imaging studies
• Time to death
• Time to first HF hospitalization</w:t>
      </w:r>
    </w:p>
    <w:p>
      <w:pPr/>
      <w:r>
        <w:br w:type="page"/>
      </w:r>
    </w:p>
    <w:p>
      <w:pPr>
        <w:pStyle w:val="Titre2"/>
      </w:pPr>
      <w:r>
        <w:t xml:space="preserve">eh_92eed84c7b98e37c</w:t>
      </w:r>
    </w:p>
    <w:p>
      <w:pPr>
        <w:pStyle w:val="ManuscriptBody"/>
      </w:pPr>
      <w:r>
        <w:t xml:space="preserve">Source: AVATAR long-term follow-up report</w:t>
      </w:r>
    </w:p>
    <w:p>
      <w:pPr>
        <w:pStyle w:val="ManuscriptBody"/>
      </w:pPr>
      <w:r>
        <w:t xml:space="preserve">Page: 5</w:t>
      </w:r>
    </w:p>
    <w:p>
      <w:pPr>
        <w:pStyle w:val="ManuscriptBody"/>
      </w:pPr>
      <w:r>
        <w:t xml:space="preserve">Lines: 26–136</w:t>
      </w:r>
    </w:p>
    <w:p>
      <w:pPr>
        <w:pStyle w:val="ManuscriptBody"/>
      </w:pPr>
      <w:r>
        <w:t xml:space="preserve">Source-version hash: a890f771fd05</w:t>
      </w:r>
    </w:p>
    <w:p>
      <w:pPr>
        <w:pStyle w:val="ManuscriptBody"/>
      </w:pPr>
      <w:r>
        <w:t xml:space="preserve">Full verbatim quote: Table 2 Selected baseline characteristics of the study population
Early surgery group (n = 78)
Conservative treatment group (n = 79)
P-value
Demographics and comorbidities
Age, years, median (IQR)
68 (63-73)
69 (64-75)
.02
Sex (female)
32 (41.0%)
35 (44.3%)
.67
STS score, median (IQR)
1.6 (1.1-2.2)
1.8 (1.2-2.7)
.67
Days from randomization to surgery, median (IQR)
55 (36-79)
476 (226-1098)
&lt;.001
Diabetes mellitus
14 (17.9%)
23 (29.1%)
.07
Hypertension
69 (88.4%)
70 (88.6%)
.44
History of PCI
1 (1.3%)
2 (2.5%)
.44
History of stroke
2 (2.5%)
2 (2.5%)
.92
Peripheral arterial disease
0 (0%)
1 (1.36%)
.80
Laboratory parameters
BNP, pg/mLa, median (IQR)
83 (53-127)
89 (58-149)
.61
NT-proBNP, pg/mLa, median (IQR)
381 (153-660)
347 (186-722)
.45
Haemoglobin, g/L, median (IQR)
141 (131-150)
134 (128-141)
.01
Creatinine, μmol/L, median (IQR)
80 (66-94)
76 (67-92)
.27
Blood glucose, mmol/L, median (IQR)
5.6 (5.3-6.7)
5.6 (5.1-6.8)
.70
Echocardiography
LVESV, mL, median (IQR)
28 (20-41)
33 (22-42)
.96
LVEDV, mL, median (IQR)
113 (89-142)
113 (96-126)
.54
LV mass index, g/m2, median (IQR)
152 (133-175)
160 (139-183)
.67
Left atrium, cm
4.1 (3.8-4.4)
4.2 (3.9-4.4)
.68
SVi, mL/m2, median (IQR)
39 (33-48)
42 (34-51)
.58
PA systolic pressure, mmHg, median (IQR)
30 (26-36)
30 (27-37)
.82
Vmax, m/s, median (IQR)
4.5 (4.3-4.8)
4.5 (4.2-4.7)
.13
Pmean, mmHg, median (IQR)
51 (44-58)
50 (43-59)
.16
Pmax, mmHg, median (IQR)
82 (74-90)
79 (70-90)
.18
AVA, cm2, median (IQR)
0.73 (0.55-0.84)
0.74 (0.59-0.89)
.29
AVAi, cm2/m2, median (IQR)
0.37 (0.3-0.42)
0.37 (0.31-0.46)
.08
E/eʹ, median (IQR)
12.2 (9.6-16.3)
12.2 (8.8-18.1)
.54</w:t>
      </w:r>
    </w:p>
    <w:p>
      <w:pPr>
        <w:pStyle w:val="Titre2"/>
      </w:pPr>
      <w:r>
        <w:t xml:space="preserve">eh_975aac3202107531</w:t>
      </w:r>
    </w:p>
    <w:p>
      <w:pPr>
        <w:pStyle w:val="ManuscriptBody"/>
      </w:pPr>
      <w:r>
        <w:t xml:space="preserve">Source: ClinicalTrials.gov NCT02436655</w:t>
      </w:r>
    </w:p>
    <w:p>
      <w:pPr>
        <w:pStyle w:val="ManuscriptBody"/>
      </w:pPr>
      <w:r>
        <w:t xml:space="preserve">Page: 1</w:t>
      </w:r>
    </w:p>
    <w:p>
      <w:pPr>
        <w:pStyle w:val="ManuscriptBody"/>
      </w:pPr>
      <w:r>
        <w:t xml:space="preserve">Lines: 67–68</w:t>
      </w:r>
    </w:p>
    <w:p>
      <w:pPr>
        <w:pStyle w:val="ManuscriptBody"/>
      </w:pPr>
      <w:r>
        <w:t xml:space="preserve">Source-version hash: d32e23eb2a1e</w:t>
      </w:r>
    </w:p>
    <w:p>
      <w:pPr>
        <w:pStyle w:val="ManuscriptBody"/>
      </w:pPr>
      <w:r>
        <w:t xml:space="preserve">Full verbatim quote: #### Masking info
- Masking: NONE</w:t>
      </w:r>
    </w:p>
    <w:p>
      <w:pPr/>
      <w:r>
        <w:br w:type="page"/>
      </w:r>
    </w:p>
    <w:p>
      <w:pPr>
        <w:pStyle w:val="Titre2"/>
      </w:pPr>
      <w:r>
        <w:t xml:space="preserve">eh_af1340e6c28a70eb</w:t>
      </w:r>
    </w:p>
    <w:p>
      <w:pPr>
        <w:pStyle w:val="ManuscriptBody"/>
      </w:pPr>
      <w:r>
        <w:t xml:space="preserve">Source: AVATAR long-term follow-up report</w:t>
      </w:r>
    </w:p>
    <w:p>
      <w:pPr>
        <w:pStyle w:val="ManuscriptBody"/>
      </w:pPr>
      <w:r>
        <w:t xml:space="preserve">Page: 7</w:t>
      </w:r>
    </w:p>
    <w:p>
      <w:pPr>
        <w:pStyle w:val="ManuscriptBody"/>
      </w:pPr>
      <w:r>
        <w:t xml:space="preserve">Lines: 1–148</w:t>
      </w:r>
    </w:p>
    <w:p>
      <w:pPr>
        <w:pStyle w:val="ManuscriptBody"/>
      </w:pPr>
      <w:r>
        <w:t xml:space="preserve">Source-version hash: a890f771fd05</w:t>
      </w:r>
    </w:p>
    <w:p>
      <w:pPr>
        <w:pStyle w:val="ManuscriptBody"/>
      </w:pPr>
      <w:r>
        <w:t xml:space="preserve">Full verbatim quote: group was 67.9 years, while the mean age of patients in the early surgery
group was 65.4 years (P = .19). Four patients in the conservative treat
ment group underwent TAVI procedure. Indications for surgery in the
conservative treatment group are shown in Table 3. Median time to sur
gery upon establishing the indication was 123 days (IQR 90-297 days).
There were no significant baseline differences between the patients in
the conservative group who remained AVR-free during follow-up and
those who later underwent AVR (see Supplementary data online,
Table S1). Patients in the conservative group on the watchful waiting, in
cluding those undergoing valve surgery, experienced a progressive increase
in the aortic valve severity associated with a significant decline in LVEF over
time (see Supplementary data online, Tables S2 and S3, respectively).
In total, 57/107 (53.3%) patients received a bioprosthetic valve and
50/107 received a mechanical valve (46.7%). In the early surgery group,
34/72 (47.2%) received a bioprosthetic valve, while 23/35 (65.7%) pa
tients received a bioprosthetic valve in the conservative treatment group
(P = .32). Three patients in early surgery group (3/78; 3.8%) and four pa
tients in the conservative treatment group (4/35; 11.4%) have undergone
concomitant coronary artery bypass grafting. No peri-procedural myo
cardial infarction has been noticed. The intraoperative mortality was
low in both groups (1.3% in the early surgery vs. 2.5% in the conservative
group; P = .54). There was no difference in length of hospitalization in the
early surgery group vs. operated patients in the conservative treatment
group (8.8 vs. 9.1 days; P = .87). Details of post-operative aortic valve
function, procedural time, and mean hospitalization length between
both groups are shown in Supplementary data online, Table S4. Three pa
tients (3/78, 3.8%) in the early surgery group, and 1/35 (2.86%) patient in
the conservative treatment group underwent redo AVR procedure
(P = .79; Supplementary data online, Table S5.
Outcomes
There were a total of 55 primary outcome events comprising a com
posite of all-cause mortality or acute myocardial infarction, stroke,
and unplanned HF hospitalization. A primary outcome event occurred
in 18/78 patients (23.1%) in the early surgery group and in 37/79 pa
tients (46.8%) in the conservative treatment group (HR with early sur
gery vs. conservative treatment 0.42; 95% CI 0.24-0.73, P = .002;
Figure 2). Forty patients died during follow-up: 13/78 (16.7%) in the
early surgery group and 27/79 (34.17%) in the conservative treatment
group. In the early surgery group, 11/72 patients died after valve surgery
at median of 362 days (IQR 116-1211), of which 8 were cardiovascular
deaths. In the conservative group, 8/35 patients died after surgery at
shorter median of 131 days (IQR 47.8-603), of which 5 were cardiovas
cular deaths. Mortality causes for individual subjects are detailed in
Supplementary data online, Tables S6A and S6B.
Kaplan-Meier estimates of the individual endpoints of all-cause death
and HF hospitalization were significantly lower in the early surgery
compared with the conservative group (HR 0.44; 95% CI 0.23-0.85,
P = .012, for all-cause death and HR 0.21; 95% CI 0.06-0.73, P = .007,
for HF hospitalizations) (Figure 3 and Table 4). The risk of repeated
MACE was significantly higher in the conservative treatment group
(Table 4).
Sudden cardiac death occurred in 9/79 patients (11.4%) in the con
servative group compared with 4/78 patients (5.1%) in the early surgery
group (P = .17; Table 4). The annual rate of sudden cardiac death was
twice higher in the conservatively treated group as compared with early
surgery group (2.2% vs. 1%; P = .32). If not considering symptomatic pa
tients in the watchful waiting group who died suddenly at home, the an
nual rate of sudden cardiac death in the conservative group reached
1.48%. One patient randomized to the early surgery group died sud
denly while awaiting the surgery. There was a trend for higher rates
of cardiovascular deaths in the conservative treatment group over
time (19.3% vs. 11.6%; P = .1; Figure 4). The incidence of serious adverse
events was also significantly higher in the conservative treatment group
(49.4% vs. 26.4%; P = .013) (Table 4). No difference between groups
was observed in the safety outcomes including major bleeding and
thromboembolic complications (5.1% vs. 3.8%; P = .69; and 5.1% vs.
3.8%; P = .69; respectively; Table 4).
In a post hoc heterogeneity analysis in the study population, no signifi
cant interaction for heterogeneity was noted for any of the analysed
parameters (see Supplementary data online, Figure S1) indicating that
results are consistent across different patients' subgroups.
Discussion
The main findings from the extended follow-up of the AVATAR trial
can be summarized as follows: (i) the primary composite outcome
comprising of all-cause death, acute myocardial infarction, stroke, and
HF hospitalizations was significantly and consistently lower with the
early surgery approach compared with the conservative treatment ap
proach; (ii) patients on conservative strategy appeared at almost 50%
p = 0.01
HR = 0.44 (95% CI 0.23 to 0.85)
0%
10%
20%
30%
40%
50%
60%
All-cause death
incidence
79
71
61
39
14
Control
78
72
71
52
15
Early surgery
Participants, n
0
20
40
60
80
Time (Months)
Early surgery
Conservative treatment
p = 0.007
HR = 0.21 (95% CI 0.06 to 0.73)
0%
10%
20%
30%
40%
50%
60%
HF hospitalization
incidence
79
65
55
32
11
Control
78
71
70
51
15
Early surgery
Participants, n
0
20
40
60
80
Time (Months)
Early surgery
Conservative treatment
Figure 3 Cumulative incidence of all-cause death (upper panel) and
heart failure hospitalization (lower panel) (intention-to-treat
population)
4532
Banovic et al.
Downloaded from academic.oup.com/eurheartj/article/45/42/4526/7742145 by guest on 03 October 2026</w:t>
      </w:r>
    </w:p>
    <w:p>
      <w:pPr>
        <w:pStyle w:val="Titre2"/>
      </w:pPr>
      <w:r>
        <w:t xml:space="preserve">eh_c8e0958840636206</w:t>
      </w:r>
    </w:p>
    <w:p>
      <w:pPr>
        <w:pStyle w:val="ManuscriptBody"/>
      </w:pPr>
      <w:r>
        <w:t xml:space="preserve">Source: AVATAR long-term follow-up report</w:t>
      </w:r>
    </w:p>
    <w:p>
      <w:pPr>
        <w:pStyle w:val="ManuscriptBody"/>
      </w:pPr>
      <w:r>
        <w:t xml:space="preserve">Page: 6</w:t>
      </w:r>
    </w:p>
    <w:p>
      <w:pPr>
        <w:pStyle w:val="ManuscriptBody"/>
      </w:pPr>
      <w:r>
        <w:t xml:space="preserve">Lines: 1–99</w:t>
      </w:r>
    </w:p>
    <w:p>
      <w:pPr>
        <w:pStyle w:val="ManuscriptBody"/>
      </w:pPr>
      <w:r>
        <w:t xml:space="preserve">Source-version hash: a890f771fd05</w:t>
      </w:r>
    </w:p>
    <w:p>
      <w:pPr>
        <w:pStyle w:val="ManuscriptBody"/>
      </w:pPr>
      <w:r>
        <w:t xml:space="preserve">Full verbatim quote: 3-year follow-up information available for all patients. For binary outcomes,
we used a generalized linear model assuming a binomial distribution with a
log link function to report risk ratios and 95% CI. We conducted subgroup
analyses accompanied by a P for interaction to assess the consistency of the
treatment effect on the primary outcome according to the following pre-
defined variables: age (&lt;65 vs. ≥65), sex, baseline ejection fraction (&lt;60%
vs. ≥60%), and country of trial site. P-values and 95% CI for secondary out
comes and secondary analyses of the primary outcome were not adjusted
for multiple testing and are considered exploratory. For the post hoc ana
lyses of echocardiography readouts of valve severity and LVEF in patients
in the conservative group, we calculated the mean change from baseline
to 12-month follow-up for all patients in the conservative group with avail
able data and the mean change from baseline to final follow-up for all pa
tients in the conservative group that underwent surgery and had available
data. We conducted paired t-tests to derive P-values and 95% CI for the
mean changes from baseline.11 This analysis was repeated for patients in
the conservative group that underwent AVR. Analyses were performed
using Stata, version 18.0.
Results
Patients and follow-up
Main patient characteristics at baseline are summarized in Table 2. The
average age of enrolled patients was 67 years, 57% were men, the ma
jority of patients had a degenerative aetiology of AS (84.7%), and the
median estimated operative mortality according to the Society of
Thoracic Surgeons predicted risk of mortality score was 1.7%. No sig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
Aortic valve replacement procedures
In the early surgery group, AVR was performed in 72 of the 78 patients
(92.3%). Among the six patients that did not undergo AVR per random
ization, one patient, as above mentioned, was lost to follow-up, and one
died prior to valve surgery. Four patients were available for the extended
follow-up. Among them, one patient died unoperated after 2113 days;
two became symptomatic and underwent intervention after 691 and
791 days, respectively; and one remained asymptomatic and AVR free
throughout the entire follow-up (Figure 1). The median time from ran
domization to AVR in the early surgery group was 55 days (IQR 36-79).
Thirty-five out of the 79 patients (44.3%) in the conservative treatment
group had surgery during follow-up. Median time from randomization
to surgery in the conservative treatment group was 476 days (IQR
226-1098). At the time of AVR, the mean age of patients in the control
p = 0.002
HR = 0.42 (95% CI 0.24 to 0.73)
0%
10%
20%
30%
40%
50%
60%
Primary composite endpoint
incidence
79
61
52
29
11
Control
78
69
67
48
13
Early surgery
Participants, n
0
20
40
60
80
Time (Months)
Early surgery
Conservative treatment
Figure 2 Cumulative incidence of primary composite outcome (intention-to-treat population)
Table 3 Indications for aortic valve replacement in the
conservative treatment group
Symptom onset (including increased fatigue)
18 (51.4%)
AS progression
6 (17.1%)
Decrease in LVEF
3 (8.6%)
Combination of factors
8 (22.9%)
AS, aortic stenosis; LVEF, left ventricular ejection fraction.
Aortic valve replacement vs. conservative treatment 4531
Downloaded from academic.oup.com/eurheartj/article/45/42/4526/7742145 by guest on 03 October 2026
[Extracted table 1]
|Symptom onset (including increased fatigue) 1|8 (51.4%)|
|---|---|
|AS progression 6 (17.1%)||
|Decrease in LVEF|3 (8.6%)|
|Combination of factors 8 (22.9%)||</w:t>
      </w:r>
    </w:p>
    <w:p>
      <w:pPr/>
      <w:r>
        <w:br w:type="page"/>
      </w:r>
    </w:p>
    <w:p>
      <w:pPr>
        <w:pStyle w:val="Titre2"/>
      </w:pPr>
      <w:r>
        <w:t xml:space="preserve">eh_d54a2600ddc753b3</w:t>
      </w:r>
    </w:p>
    <w:p>
      <w:pPr>
        <w:pStyle w:val="ManuscriptBody"/>
      </w:pPr>
      <w:r>
        <w:t xml:space="preserve">Source: ClinicalTrials.gov NCT02436655</w:t>
      </w:r>
    </w:p>
    <w:p>
      <w:pPr>
        <w:pStyle w:val="ManuscriptBody"/>
      </w:pPr>
      <w:r>
        <w:t xml:space="preserve">Page: 1</w:t>
      </w:r>
    </w:p>
    <w:p>
      <w:pPr>
        <w:pStyle w:val="ManuscriptBody"/>
      </w:pPr>
      <w:r>
        <w:t xml:space="preserve">Lines: 95–101</w:t>
      </w:r>
    </w:p>
    <w:p>
      <w:pPr>
        <w:pStyle w:val="ManuscriptBody"/>
      </w:pPr>
      <w:r>
        <w:t xml:space="preserve">Source-version hash: d32e23eb2a1e</w:t>
      </w:r>
    </w:p>
    <w:p>
      <w:pPr>
        <w:pStyle w:val="ManuscriptBody"/>
      </w:pPr>
      <w:r>
        <w:t xml:space="preserve">Full verbatim quote: ### Primary outcome 1: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36 months
### Primary outcome 2: all cause death, Major Adverse Cardiac Event (MACE) including: ( Acute Myocardial Infarction - AMI, Stroke - CVI, unplanned hospitalization for Heart failure (HF) needing intravenous treatment
- Measure: all cause death, Major Adverse Cardiac Event (MACE) including: ( Acute Myocardial Infarction - AMI, Stroke - CVI, unplanned hospitalization for Heart failure (HF) needing intravenous treatment
- Time frame: 5 years</w:t>
      </w:r>
    </w:p>
    <w:p>
      <w:pPr>
        <w:pStyle w:val="Titre2"/>
      </w:pPr>
      <w:r>
        <w:t xml:space="preserve">eh_d6c269341c7d8a5d</w:t>
      </w:r>
    </w:p>
    <w:p>
      <w:pPr>
        <w:pStyle w:val="ManuscriptBody"/>
      </w:pPr>
      <w:r>
        <w:t xml:space="preserve">Source: AVATAR original trial report</w:t>
      </w:r>
    </w:p>
    <w:p>
      <w:pPr>
        <w:pStyle w:val="ManuscriptBody"/>
      </w:pPr>
      <w:r>
        <w:t xml:space="preserve">Page: 3</w:t>
      </w:r>
    </w:p>
    <w:p>
      <w:pPr>
        <w:pStyle w:val="ManuscriptBody"/>
      </w:pPr>
      <w:r>
        <w:t xml:space="preserve">Lines: 46–50</w:t>
      </w:r>
    </w:p>
    <w:p>
      <w:pPr>
        <w:pStyle w:val="ManuscriptBody"/>
      </w:pPr>
      <w:r>
        <w:t xml:space="preserve">Source-version hash: 592b9a6c531c</w:t>
      </w:r>
    </w:p>
    <w:p>
      <w:pPr>
        <w:pStyle w:val="ManuscriptBody"/>
      </w:pPr>
      <w:r>
        <w:t xml:space="preserve">Full verbatim quote: randomly assigned to early surgery or conservative treatment
using a web-based interactive response system. The assign-
ment to each treatment group was computer-generated and
stratified according to the participating centers by means of
a permuted-block sequence with variable block size. Details</w:t>
      </w:r>
    </w:p>
    <w:p>
      <w:pPr/>
      <w:r>
        <w:br w:type="page"/>
      </w:r>
    </w:p>
    <w:p>
      <w:pPr>
        <w:pStyle w:val="Titre2"/>
      </w:pPr>
      <w:r>
        <w:t xml:space="preserve">eh_e66d374e838e8c6d</w:t>
      </w:r>
    </w:p>
    <w:p>
      <w:pPr>
        <w:pStyle w:val="ManuscriptBody"/>
      </w:pPr>
      <w:r>
        <w:t xml:space="preserve">Source: AVATAR long-term follow-up report</w:t>
      </w:r>
    </w:p>
    <w:p>
      <w:pPr>
        <w:pStyle w:val="ManuscriptBody"/>
      </w:pPr>
      <w:r>
        <w:t xml:space="preserve">Page: 6</w:t>
      </w:r>
    </w:p>
    <w:p>
      <w:pPr>
        <w:pStyle w:val="ManuscriptBody"/>
      </w:pPr>
      <w:r>
        <w:t xml:space="preserve">Lines: 26–32</w:t>
      </w:r>
    </w:p>
    <w:p>
      <w:pPr>
        <w:pStyle w:val="ManuscriptBody"/>
      </w:pPr>
      <w:r>
        <w:t xml:space="preserve">Source-version hash: a890f771fd05</w:t>
      </w:r>
    </w:p>
    <w:p>
      <w:pPr>
        <w:pStyle w:val="ManuscriptBody"/>
      </w:pPr>
      <w:r>
        <w:t xml:space="preserve">Full verbatim quote: nificant heterogeneity between both groups was noted. All patients
were included in the analysis. Median follow-up for all patients was
63 months [interquartile range (IQR) 48-75). Median follow-up in sur
vivors was 68 months (IQR 58-79). One patient, who was randomized
to early surgery, has been lost to follow-up, and this patient was cen
sored when the last follow-up information was available and included
in the intention-to-treat analysis (Figure 1).</w:t>
      </w:r>
    </w:p>
    <w:p>
      <w:pPr>
        <w:pStyle w:val="Titre2"/>
      </w:pPr>
      <w:r>
        <w:t xml:space="preserve">eh_f625637d366df2a0</w:t>
      </w:r>
    </w:p>
    <w:p>
      <w:pPr>
        <w:pStyle w:val="ManuscriptBody"/>
      </w:pPr>
      <w:r>
        <w:t xml:space="preserve">Source: AVATAR original trial report</w:t>
      </w:r>
    </w:p>
    <w:p>
      <w:pPr>
        <w:pStyle w:val="ManuscriptBody"/>
      </w:pPr>
      <w:r>
        <w:t xml:space="preserve">Page: 4</w:t>
      </w:r>
    </w:p>
    <w:p>
      <w:pPr>
        <w:pStyle w:val="ManuscriptBody"/>
      </w:pPr>
      <w:r>
        <w:t xml:space="preserve">Lines: 62–69</w:t>
      </w:r>
    </w:p>
    <w:p>
      <w:pPr>
        <w:pStyle w:val="ManuscriptBody"/>
      </w:pPr>
      <w:r>
        <w:t xml:space="preserve">Source-version hash: 592b9a6c531c</w:t>
      </w:r>
    </w:p>
    <w:p>
      <w:pPr>
        <w:pStyle w:val="ManuscriptBody"/>
      </w:pPr>
      <w:r>
        <w:t xml:space="preserve">Full verbatim quote: were compared by using 2-sample t tests. A Kaplan-Meier
estimator was used to estimate the distribution of time to pri-
mary and time-to-event secondary end points (eg, survival and
time to first HF hospitalization) and a log-rank test to compare
them between the 2 treatment groups. A Cox proportional-
hazards regression model that included treatment was used
to estimate the hazard ratio comparing the early surgery and
the conservative treatment groups. For dichotomous second-</w:t>
      </w:r>
    </w:p>
    <w:p>
      <w:pPr/>
      <w:r>
        <w:br w:type="page"/>
      </w:r>
    </w:p>
    <w:p>
      <w:pPr>
        <w:pStyle w:val="Titre2"/>
      </w:pPr>
      <w:r>
        <w:t xml:space="preserve">Prompt templates and run provenance</w:t>
      </w:r>
    </w:p>
    <w:p>
      <w:pPr>
        <w:pStyle w:val="Titre2"/>
      </w:pPr>
      <w:r>
        <w:t xml:space="preserve">ARBITER template</w:t>
      </w:r>
    </w:p>
    <w:p>
      <w:pPr>
        <w:pStyle w:val="ManuscriptBody"/>
      </w:pPr>
      <w:r>
        <w:t xml:space="preserve">/arbiter-assess Assess risk of bias for {outcome} defined as {definition} in {trial}.</w:t>
      </w:r>
    </w:p>
    <w:p>
      <w:pPr>
        <w:pStyle w:val="Titre2"/>
      </w:pPr>
      <w:r>
        <w:t xml:space="preserve">ARBITER example</w:t>
      </w:r>
    </w:p>
    <w:p>
      <w:pPr>
        <w:pStyle w:val="ManuscriptBody"/>
      </w:pPr>
      <w:r>
        <w:t xml:space="preserve">/arbiter-assess Assess risk of bias for Adverse events graded by CTCAE v4.0; 'Grade 3 (severe AEs)' row of Table 3; patients with grade 3 events in Table 4 defined as Table 3 Grade 3 (severe AEs) number of AEs: 600 mg 6, 900 mg 5, 1,200 mg 9 (all subjects 20); Grade 4: 0; Grade 5 (death): 1 per arm. Table 4 total no. of patients with grade 3 events: 2, 4, 5. Abstract: 'Grade 3 adverse events occurred in only 2 patients in the 600-mg arm, 4 patients in the 900-mg arm, and 5 patients in the 1,200-mg arm.' in aarnoutse-2017.</w:t>
      </w:r>
    </w:p>
    <w:p>
      <w:pPr>
        <w:pStyle w:val="Titre2"/>
      </w:pPr>
      <w:r>
        <w:t xml:space="preserve">Unassisted template</w:t>
      </w:r>
    </w:p>
    <w:p>
      <w:pPr>
        <w:pStyle w:val="ManuscriptBody"/>
      </w:pPr>
      <w:r>
        <w:t xml:space="preserve">Assess risk of bias for {outcome} defined as {definition} in {trial}.</w:t>
      </w:r>
    </w:p>
    <w:p>
      <w:pPr>
        <w:pStyle w:val="Titre2"/>
      </w:pPr>
      <w:r>
        <w:t xml:space="preserve">Unassisted output-format instruction</w:t>
      </w:r>
    </w:p>
    <w:p>
      <w:pPr>
        <w:pStyle w:val="ManuscriptBody"/>
      </w:pPr>
      <w:r>
        <w:t xml:space="preserve">When you have finished, give your answers in this format: a table with one row per signalling question (columns: domain, question number, answer as Y, PY, PN, N, NI or NA), and then a final line exactly like "FINAL: D1=&lt;judgement&gt;; D2=&lt;judgement&gt;; D3=&lt;judgement&gt;; D4=&lt;judgement&gt;; D5=&lt;judgement&gt;; Overall=&lt;judgement&gt;", where each judgement is Low, Some concerns or High.</w:t>
      </w:r>
    </w:p>
    <w:p>
      <w:pPr>
        <w:pStyle w:val="ManuscriptBody"/>
      </w:pPr>
      <w:r>
        <w:t xml:space="preserve">Model claude-sonnet-5-5, medium effort; Claude Code 2.1.278; ARBITER 1.0.0 public commit 2f549ae30f056ff441ea61a04b719968716f2219. Each trial ran once per arm. Runs used a subscription; costs are frozen-rate API list-price equivalents. The reproducibility records include the R and package versions.</w:t>
      </w:r>
    </w:p>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xmlns:w="http://schemas.openxmlformats.org/wordprocessingml/2006/main" w:type="paragraph" w:customStyle="1" w:styleId="Titre1">
    <w:name w:val="heading 1"/>
    <w:basedOn w:val="Normal"/>
    <w:pPr>
      <w:jc w:val="left"/>
      <w:keepNext/>
      <w:pBdr>
        <w:bottom w:val="none" w:sz="0" w:space="0" w:color="000000"/>
        <w:top w:val="none" w:sz="0" w:space="0" w:color="000000"/>
        <w:left w:val="none" w:sz="0" w:space="0" w:color="000000"/>
        <w:right w:val="none" w:sz="0" w:space="0" w:color="000000"/>
      </w:pBdr>
      <w:spacing w:after="120" w:before="160" w:line="240"/>
      <w:ind w:left="0" w:right="0" w:firstLine="0" w:firstLineChars="0"/>
    </w:pPr>
    <w:rPr>
      <w:rFonts w:ascii="Arial" w:hAnsi="Arial" w:eastAsia="Arial" w:cs="Arial"/>
      <w:i w:val="false"/>
      <w:b w:val="true"/>
      <w:u w:val="none"/>
      <w:strike w:val="false"/>
      <w:sz w:val="24"/>
      <w:szCs w:val="24"/>
      <w:color w:val="000000"/>
    </w:rPr>
  </w:style>
  <w:style xmlns:w="http://schemas.openxmlformats.org/wordprocessingml/2006/main" w:type="paragraph" w:customStyle="1" w:styleId="Titre2">
    <w:name w:val="heading 2"/>
    <w:basedOn w:val="Normal"/>
    <w:pPr>
      <w:jc w:val="left"/>
      <w:keepNext/>
      <w:pBdr>
        <w:bottom w:val="none" w:sz="0" w:space="0" w:color="000000"/>
        <w:top w:val="none" w:sz="0" w:space="0" w:color="000000"/>
        <w:left w:val="none" w:sz="0" w:space="0" w:color="000000"/>
        <w:right w:val="none" w:sz="0" w:space="0" w:color="000000"/>
      </w:pBdr>
      <w:spacing w:after="80" w:before="120" w:line="240"/>
      <w:ind w:left="0" w:right="0" w:firstLine="0" w:firstLineChars="0"/>
    </w:pPr>
    <w:rPr>
      <w:rFonts w:ascii="Arial" w:hAnsi="Arial" w:eastAsia="Arial" w:cs="Arial"/>
      <w:i w:val="false"/>
      <w:b w:val="true"/>
      <w:u w:val="none"/>
      <w:strike w:val="false"/>
      <w:sz w:val="20"/>
      <w:szCs w:val="20"/>
      <w:color w:val="000000"/>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 xmlns:w="http://schemas.openxmlformats.org/wordprocessingml/2006/main" w:type="paragraph" w:customStyle="1" w:styleId="ManuscriptBody">
    <w:name w:val="Manuscript body"/>
    <w:basedOn w:val="Normal"/>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Pr>
      <w:rFonts w:ascii="Arial" w:hAnsi="Arial" w:eastAsia="Arial" w:cs="Arial"/>
      <w:i w:val="false"/>
      <w:b w:val="false"/>
      <w:u w:val="none"/>
      <w:strike w:val="false"/>
      <w:sz w:val="20"/>
      <w:szCs w:val="20"/>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c78ae5a9c57e25b338daa4773c98fbd3b9af2137.png"/>
<Relationship Id="rId8" Type="http://schemas.openxmlformats.org/officeDocument/2006/relationships/image" Target="media/26035dd4187ad59130d50a069887520f7fdfec20.png"/>
<Relationship Id="rId9" Type="http://schemas.openxmlformats.org/officeDocument/2006/relationships/image" Target="media/c5f18184bbe76bdfe624db4323fb7c7ffc2e8b6e.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ali</cp:lastModifiedBy>
  <cp:revision>9</cp:revision>
  <dcterms:created xsi:type="dcterms:W3CDTF">2017-02-28T11:18:00Z</dcterms:created>
  <dcterms:modified xsi:type="dcterms:W3CDTF">2026-10-21T03:49:49Z</dcterms:modified>
  <cp:category/>
</cp:coreProperties>
</file>