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 LLM and GRRAS reporting map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(ANALYSIS-PLAN section 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abstract; results-sentences.md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 (author assembly; ANALYSIS-PLAN section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Introduction; eMethods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eTable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 Benchmark trials; label-target CSVs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Independent reference and Overall; 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Published-label target matching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Evidence binding and verification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assessment;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Input parity and label targets; prompt templates; 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eTable 2 Full independent agreement and paired contrasts; eTable 8 Expert reliability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eTable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eMethods API list-price reconstruction; time/cost 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Ethics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Funding declaration (author completion required)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Competing interests (author completion required)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ANALYSIS-PLAN.md; analysis/DEVIATIONS.md; eMethods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Protocol/registration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Data availability; results.html How to reproduce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results.html How to reproduce; 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Public involvement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N/A for individual-patient distributions: report-level benchmark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Tables 1–3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Figures 4–6; Tables 1–3; eTable 2 full contrasts; eTable 5 signalling questions and disagreement types; Figure 6 collapsed question differences; eFigure 3 five-level and collapsed differences; eFigure 2 domain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assembly); results-sentences.md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Design status and limitations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Design status and limitations; Manuscript Discussion deployment (author assembly)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Algorithms and validation;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human oversight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future work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and abstract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Benchmark README-FOR-ALI.md sampling; Figure 3 (fixed available sample)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benchmark README-FOR-ALI.md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 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Tables 1–3; Figures 4–5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Supplementary analyses; results.html; repository CSVs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credentials, declarations and final pagination require author completion.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2026-10-21T03:49:53Z</dcterms:modified>
  <cp:category/>
</cp:coreProperties>
</file>