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 ARBITER combines rule enforcement and an independent expert reference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48"/>
        <w:gridCol w:w="1648"/>
        <w:gridCol w:w="1648"/>
        <w:gridCol w:w="1648"/>
        <w:gridCol w:w="1648"/>
        <w:gridCol w:w="1648"/>
        <w:gridCol w:w="1648"/>
        <w:gridCol w:w="1648"/>
        <w:gridCol w:w="164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Rules in code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Rules enforced during assessment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breaks measured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Quotations verified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Audit file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Agent with tools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Independent reference or adjudication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Registry or protocol given to the model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Marshall 2016] (RoB 1) [k]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Eisele-Metzger 2025] [a]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Huang 2025] [b]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Lai 2026] [c]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Nyrhi 2026] [d]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Gandhi 2026] [e]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Choi 2026] [f]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Hevia 2025] [g]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Liang 2026] [h]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Saadi 2026] (ROBINS-I) [i]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This study (ARBITER) [j]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Blinded dual expert rating of all domains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Yes, documented; No, affirmative absence; NR, Not reported (presence or absence unclear). Partly means: code, spreadsheet or incomplete rules; enforcement, some configurations or incomplete answer checks; breaks, overall-only or qualitative checks; quotations, semantic judging without occurrence/integrity checks; audit, retained responses without a verifiable source bundle; agent, enabled browsing or retrieval without demonstrated agent tool calls; reference, limited re-review, historical independent teams or text-relevance review; registry/protocol, compressed or restricted delivery. Structured prompting alone is not enforced rules. Registry/protocol includes SAPs and available records; a registration number alone does not qualify. This study gave both compared arms identical inputs; other matched model/workflow comparisons also used identical underlying sources (see eTable 21). a, Compressed ancillary records; overall-only checks. b, Post hoc Excel derivation; six development trials. c, Prompt rules. d, RoB 2 cohort; protocols when available. e, Masked panel; actual browsing unmeasured. f, One trial, 38 runs. g, Retrieval and retained edits. h, Post hoc support judging. i, ROBINS-I; selected concordant references. j, Recorded overrides permitted; none in 510 domains; blinded dual expert rating of all domains. k, RobotReviewer used RoB 1; its blinded panel judged text relevance. Reference callouts resolve in the manuscript bibliography. Condensed cell evidence and quotation locations: eTable 21.</w:t>
            </w:r>
          </w:p>
        </w:tc>
      </w:tr>
    </w:tbl>
    <w:sectPr>
      <w:pgMar w:header="708" w:bottom="864" w:top="864" w:right="936" w:left="936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2026-10-21T03:28:14Z</dcterms:modified>
  <cp:category/>
</cp:coreProperties>
</file>