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Sixteen meta-analyses across 15 specialties supplied the benchmark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02"/>
        <w:gridCol w:w="1656"/>
        <w:gridCol w:w="3600"/>
        <w:gridCol w:w="576"/>
        <w:gridCol w:w="1325"/>
        <w:gridCol w:w="77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 and 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 (Low/SC/High)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Per-domain distributions: eTable 8.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2026-10-19T05:20:33Z</dcterms:modified>
  <cp:category/>
</cp:coreProperties>
</file>