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ARBITER detected more flagged risk, with lower specificity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4"/>
        <w:gridCol w:w="1944"/>
        <w:gridCol w:w="1944"/>
        <w:gridCol w:w="1944"/>
        <w:gridCol w:w="208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Sensitivity¹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D1⁠–⁠D5 (510 cells); Some concerns or High: N = 83; Low N = 427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(0.26–0.42)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75.7% (72.4–79.0)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66.3% (57.3–74.7)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81.3% (77.7–84.7)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(0.21–0.35)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77.5% (74.1–80.8)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50.6% (40.3–60.2)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85.7% (82.1–89.3)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83.7% (81.0–86.5)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Overall (81 trials); Some concerns or High: N = 39; Low N = 42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(0.32–0.56)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58.0% (49.4–66.7)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92.3% (83.7–100.0)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54.8% (44.2–67.4)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(0.27–0.56)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59.3% (50.6–67.9)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64.1% (50.0–77.8)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(65.9–86.8)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51.9% (44.4–59.3)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Paired difference, ARBITER − Unassisted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D1⁠–⁠D5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(−0.03–0.14)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(−5.1–1.6)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 (6.8–24.4)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(−7.6–−1.2)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Overall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(−0.11–0.16)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(−11.1–8.6)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 (16.1–40.5)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−21.4 (−32.7–−9.8)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 means published review label. Values are coefficients or percentages (95% CI); denominators are in block labels. ¹ Sensitivity for Some concerns or High; specificity is the share of published Low ratings also rated Low. All-Low rule has no variance; only accuracy and specificity are reported. Paired differences are coefficients or percentage points; — indicates undefined or not applicable. AC2 and composite-reference results: eTables 9 and 10. Full paired differences: eTables 11–12. Overall judgements were not adjudicated. Published labels were frequently less severe than the adjudicators’ agreed choice (Figure 4).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2026-10-19T05:20:34Z</dcterms:modified>
  <cp:category/>
</cp:coreProperties>
</file>