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Without ARBITER, 1 in 8 domain ratings broke the RoB 2 rules</w:t>
      </w:r>
    </w:p>
    <w:tbl xmlns:a="http://schemas.openxmlformats.org/drawingml/2006/main" xmlns:pic="http://schemas.openxmlformats.org/drawingml/2006/picture">
      <w:tblPr>
        <w:tblLayout w:type="fixed"/>
        <w:jc w:val="center"/>
        <w:tblLook w:firstRow="1" w:lastRow="0" w:firstColumn="0" w:lastColumn="0" w:noHBand="0" w:noVBand="1"/>
      </w:tblPr>
      <w:tblGrid>
        <w:gridCol w:w="4248"/>
        <w:gridCol w:w="3168"/>
        <w:gridCol w:w="24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judgements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3.3–6.9)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5.7–10.0)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10.0–15.6)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 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 2.9–10.8)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 26.5–42.2)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 6.9–18.6)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judgement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rating follows the RoB 2 rules (incl. 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supporting passage or 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text linked to its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Image regions linked to their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passes the independent verifier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(x.x%; 95% CI a–b) where an interval is shown. A rule break means a rating contradicts its own answers or a required question was skipped. ARBITER computes proposed ratings from the official rules and requires complete answers. Recorded model overrides are in the supplement. One ARBITER Overall rating used the permitted escalation; both arms followed the Overall rules in every trial. Full checks, skipped-question sensitivity and overrides: eTables 13–15. One Unassisted domain lacks a rating and answers and is excluded (509 evaluable). Evidence coverage counts required answers citing a passage or image. Text and image checks count distinct cited records. ARBITER extracts quoted text and renders cited images. The model writes image descriptions; these are not checked against the images. The independent verifier checks the audit file structure, not clinical correctness or completion. Unassisted evidence records are unavailable.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2026-10-19T05:20:35Z</dcterms:modified>
  <cp:category/>
</cp:coreProperties>
</file>