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4. Before seeing any label, both adjudicators’ own ratings agreed with ARBITER far more than with the unassisted model or the published review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64"/>
        <w:gridCol w:w="2376"/>
        <w:gridCol w:w="3024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Comparison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Weighted κ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Raw agreement</w:t>
            </w:r>
          </w:p>
        </w:tc>
      </w:tr>
      <w:tr>
        <w:trPr>
          <w:cantSplit/>
          <w:trHeight w:val="480" w:hRule="auto"/>
        </w:trPr>
        <w:tc>
          <w:tcPr>
            <w:gridSpan w:val="3"/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Between adjudicators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Independent ratings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 (0.48–0.68)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114/154 (74.0%; 68.2–79.9)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Ratings chosen after seeing labels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 (0.57–0.79)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129/154 (83.8%; 78.6–88.9)</w:t>
            </w:r>
          </w:p>
        </w:tc>
      </w:tr>
      <w:tr>
        <w:trPr>
          <w:cantSplit/>
          <w:trHeight w:val="480" w:hRule="auto"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Adjudicator 1 own rating compared with …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−0.08 (−0.17–0.01)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34/154 (22.1%; 15.8–28.5)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 (0.41–0.62)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107/154 (69.5%; 62.7–76.0)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 (0.13–0.30)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69/154 (44.8%; 38.1–51.6)</w:t>
            </w:r>
          </w:p>
        </w:tc>
      </w:tr>
      <w:tr>
        <w:trPr>
          <w:cantSplit/>
          <w:trHeight w:val="480" w:hRule="auto"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Adjudicator 2 own rating compared with …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−0.08 (−0.18–0.03)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42/154 (27.3%; 20.4–34.3)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 (0.56–0.76)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120/154 (77.9%; 71.7–84.0)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 (0.19–0.42)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76/154 (49.4%; 42.2–56.5)</w:t>
            </w:r>
          </w:p>
        </w:tc>
      </w:tr>
      <w:tr>
        <w:trPr>
          <w:cantSplit/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 comparisons use the 154 domain ratings reviewed because at least one Sonnet arm differed from the published label. These comparisons cannot estimate agreement or published-label accuracy in the full benchmark. Independent ratings preceded blinded label presentation. Adjudicators then chose among the three offered labels. Linearly weighted Cohen’s κ; AC2 is in eTable 16; raw agreement is n/N (x.x%; 95% CI a–b). CI, confidence interval; 10,000 percentile bootstrap replicates, trials resampled within meta-analysis; seed 20261018.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2026-10-19T05:20:35Z</dcterms:modified>
  <cp:category/>
</cp:coreProperties>
</file>