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ARBITER combines rule enforcement, quotation checks and blinded adjudication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792"/>
        <w:gridCol w:w="1224"/>
        <w:gridCol w:w="1008"/>
        <w:gridCol w:w="1080"/>
        <w:gridCol w:w="691"/>
        <w:gridCol w:w="792"/>
        <w:gridCol w:w="1411"/>
        <w:gridCol w:w="129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in code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enforced during assessment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breaks measured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Quotations verified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Audit file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Agent with tools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Independent reference or adjudication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Registry or protocol given to the model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Marshall 2016] (RoB 1) [k]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Eisele-Metzger 2025] [a]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Huang 2025] [b]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Lai 2026] [c]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Nyrhi 2026] [d]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Gandhi 2026] [e]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Choi 2026] [f]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Hevia 2025] [g]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Liang 2026] [h]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Saadi 2026] (ROBINS-I) [i]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This study] [j]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documented; No, affirmative absence; NR, Not reported (presence or absence unclear). Partly means: code, spreadsheet or incomplete rules; enforcement, some configurations or incomplete answer checks; breaks, overall-only or qualitative checks; quotations, semantic judging without occurrence/integrity checks; audit, retained responses without a verifiable source bundle; agent, enabled browsing or retrieval without demonstrated agent tool calls; reference, limited re-review, historical independent teams or text-relevance review; registry/protocol, compressed or restricted delivery. Structured prompting alone is not enforced rules. Registry/protocol includes SAPs and available records; a registration number alone does not qualify. This study gave both compared arms identical inputs; other matched model/workflow comparisons also used identical underlying sources (see curated evidence notes). a, Compressed ancillary records; overall-only checks. b, Post hoc Excel derivation; six development trials. c, Prompt rules. d, RoB 2 cohort; protocols when available. e, Masked panel; actual browsing unmeasured. f, One trial, 38 runs. g, Retrieval and retained edits. h, Post hoc support judging. i, ROBINS-I; selected concordant references. j, Recorded overrides permitted; none in 510 domains; disputed-cell adjudication. k, RobotReviewer used RoB 1; its blinded panel judged text relevance. Reference callouts resolve in the manuscript bibliography. Full cell evidence and definitions: prior-work-comparison-notes.md.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2026-10-19T10:48:26Z</dcterms:modified>
  <cp:category/>
</cp:coreProperties>
</file>