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56"/>
        <w:gridCol w:w="1152"/>
        <w:gridCol w:w="1152"/>
        <w:gridCol w:w="1944"/>
        <w:gridCol w:w="1944"/>
        <w:gridCol w:w="158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 for Not 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 for Not Low</w:t>
            </w:r>
          </w:p>
        </w:tc>
      </w:tr>
      <w:tr>
        <w:trPr>
          <w:cantSplit/>
          <w:trHeight w:val="480" w:hRule="auto"/>
        </w:trPr>
        <w:tc>
          <w:tcPr>
            <w:gridSpan w:val="6"/>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D1–D5 (510 cells); Not Low N = 83; Low N = 427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75.7 (72.4–79.0)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66.3 (57.3–74.7)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Published labels — Overall (81 trials); Not Low N = 39; Low N = 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 (44.4–59.3)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w:t>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Against composite reference — D1–D5 (485 cells)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97.3 (95.9–98.6)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87.6 (85.2–90.0)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difference, ARBITER − Unassisted</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 (−5.1 to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(6.8–24.4)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(−7.6 to −1.2)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(−11.1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28.2 (16.1–40.5)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(−32.7 to −9.8)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 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 (7.0–12.4)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Values are coefficients or percentages (95% CI); denominators are in block labels. Not Low means Some concerns or High. All-Low rule has no variance; only accuracy and specificity are reported. Paired differences are coefficients or percentage points;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Overall judgements were not adjudicated. Published labels were frequently less severe than the adjudicators’ preferred judgement (Figure 4).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2026-10-18T21:00:43Z</dcterms:modified>
  <cp:category/>
</cp:coreProperties>
</file>