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26e74a24f867deabfa9c1d5ee51de4ca1fc52bd"/>
    <w:p>
      <w:pPr>
        <w:pStyle w:val="Title"/>
      </w:pPr>
      <w:r>
        <w:rPr>
          <w:b/>
          <w:sz w:val="28"/>
        </w:rPr>
        <w:t xml:space="preserve">ARBITER: an auditable workflow for AI-assisted risk-of-bias assessment</w:t>
      </w:r>
    </w:p>
    <w:bookmarkStart w:id="9" w:name="front-matter-notes"/>
    <w:p>
      <w:pPr>
        <w:pStyle w:val="FirstParagraph"/>
      </w:pPr>
      <w:r>
        <w:t xml:space="preserve">Article type: Research and Applications. Main displays comprise five figures and three tables.</w:t>
      </w:r>
    </w:p>
    <w:p>
      <w:pPr>
        <w:pStyle w:val="BodyText"/>
      </w:pPr>
      <w:r>
        <w:t xml:space="preserve">Author: Ali Salman, MBBS. Affiliations: [Department, institution, city and country]. Correspondence: [Postal address, email and telephone]. [Confirm complete author list and order].</w:t>
      </w:r>
    </w:p>
    <w:p>
      <w:pPr>
        <w:pStyle w:val="BodyText"/>
      </w:pPr>
      <w:r>
        <w:t xml:space="preserve">Keywords: artificial intelligence; risk of bias; evidence synthesis; reproducibility; clinical trials.</w:t>
      </w:r>
    </w:p>
    <w:p>
      <w:r>
        <w:t>Word counts: main text 3368; structured abstract 225.</w:t>
      </w:r>
    </w:p>
    <w:bookmarkEnd w:id="9"/>
    <w:bookmarkStart w:id="15" w:name="abstract"/>
    <w:p>
      <w:bookmarkStart w:id="68" w:name="loc_5"/>
      <w:pPr>
        <w:pStyle w:val="Heading1"/>
        <w:pageBreakBefore/>
        <w:spacing w:line="240" w:lineRule="auto"/>
      </w:pPr>
      <w:r>
        <w:rPr>
          <w:b/>
        </w:rPr>
        <w:t>ABSTRACT</w:t>
      </w:r>
      <w:bookmarkEnd w:id="68"/>
    </w:p>
    <w:bookmarkStart w:id="10" w:name="objective"/>
    <w:p>
      <w:pPr>
        <w:pStyle w:val="FirstParagraph"/>
        <w:spacing w:after="80"/>
      </w:pPr>
      <w:r>
        <w:rPr>
          <w:b/>
        </w:rPr>
        <w:t xml:space="preserve">Objective. </w:t>
      </w:r>
      <w:r>
        <w:t xml:space="preserve">To present ARBITER, an inspectable workflow for the Cochrane risk-of-bias tool for randomised trials (RoB 2), and compare its judgments with same-model minimal prompting.</w:t>
      </w:r>
    </w:p>
    <w:bookmarkEnd w:id="10"/>
    <w:bookmarkStart w:id="11" w:name="materials-and-methods"/>
    <w:p>
      <w:pPr>
        <w:pStyle w:val="FirstParagraph"/>
        <w:spacing w:after="80"/>
      </w:pPr>
      <w:r>
        <w:rPr>
          <w:b/>
        </w:rPr>
        <w:t xml:space="preserve">Materials and Methods. </w:t>
      </w:r>
      <w:r>
        <w:t xml:space="preserve">ARBITER retains sources, evidence and signalling answers and applies decision rules in software. Its Sonnet workflow and a minimal-prompt comparator (Unassisted) assessed identical supplied documents for 102 trials from 16 reviews. Two experts independently rated 510 trial–domain assessments before choosing among blinded labels. The primary endpoint measured agreed label choices matching ARBITER where workflows disagreed. Independent expert agreement was secondary. Paired intervals resampled trials within fixed reviews.</w:t>
      </w:r>
    </w:p>
    <w:bookmarkEnd w:id="11"/>
    <w:bookmarkStart w:id="12" w:name="results"/>
    <w:p>
      <w:pPr>
        <w:pStyle w:val="FirstParagraph"/>
        <w:spacing w:after="80"/>
      </w:pPr>
      <w:r>
        <w:rPr>
          <w:b/>
        </w:rPr>
        <w:t xml:space="preserve">Results. </w:t>
      </w:r>
      <w:r>
        <w:t xml:space="preserve">Among 80 workflow disagreements, experts agreed on 60 label choices and split on 20; 53/60 agreed choices matched ARBITER (88%; 95% CI, 80–96%). Exact agreement was 371/510 (72.7%) versus 332/510 (65.1%) against Expert 1 and 433/510 (84.9%) versus 400/510 (78.4%) against Expert 2. Paired gains were 7.6 percentage points (95% CI, 5.1–10.2) and 6.5 (3.5–9.4). Against published labels, ARBITER minus Unassisted agreement was −1.8 points (−5.1 to 1.6). All 510 ARBITER domain outputs followed executable rules. Structural checks did not assess evidence support. Median runtime was 7.6 versus 0.5 minutes per trial.</w:t>
      </w:r>
    </w:p>
    <w:bookmarkEnd w:id="12"/>
    <w:bookmarkStart w:id="13" w:name="discussion"/>
    <w:p>
      <w:pPr>
        <w:pStyle w:val="FirstParagraph"/>
        <w:spacing w:after="80"/>
      </w:pPr>
      <w:r>
        <w:rPr>
          <w:b/>
        </w:rPr>
        <w:t xml:space="preserve">Discussion. </w:t>
      </w:r>
      <w:r>
        <w:t xml:space="preserve">Label matching does not endorse ARBITER’s reasoning. Agreement varied by domain and reference. The complete-workflow comparison cannot isolate component effects or establish reviewer benefit.</w:t>
      </w:r>
    </w:p>
    <w:bookmarkEnd w:id="13"/>
    <w:bookmarkStart w:id="14" w:name="conclusion"/>
    <w:p>
      <w:pPr>
        <w:pStyle w:val="FirstParagraph"/>
        <w:spacing w:after="80"/>
      </w:pPr>
      <w:r>
        <w:rPr>
          <w:b/>
        </w:rPr>
        <w:t xml:space="preserve">Conclusion. </w:t>
      </w:r>
      <w:r>
        <w:t xml:space="preserve">ARBITER preserved an inspectable assessment pathway and agreed more often with both independent experts in this single-run benchmark.</w:t>
      </w:r>
    </w:p>
    <w:bookmarkEnd w:id="14"/>
    <w:bookmarkEnd w:id="15"/>
    <w:bookmarkStart w:id="18" w:name="introduction"/>
    <w:p>
      <w:bookmarkStart w:id="74" w:name="loc_11"/>
      <w:pPr>
        <w:pStyle w:val="Heading1"/>
        <w:pageBreakBefore/>
      </w:pPr>
      <w:r>
        <w:rPr>
          <w:b/>
        </w:rPr>
        <w:t>INTRODUCTION</w:t>
      </w:r>
      <w:bookmarkEnd w:id="74"/>
    </w:p>
    <w:bookmarkStart w:id="16" w:name="background-and-significance"/>
    <w:p>
      <w:bookmarkStart w:id="75" w:name="loc_12"/>
      <w:pPr>
        <w:pStyle w:val="Heading2"/>
      </w:pPr>
      <w:r>
        <w:rPr>
          <w:b/>
        </w:rPr>
        <w:t>Background and significance</w:t>
      </w:r>
      <w:bookmarkEnd w:id="75"/>
    </w:p>
    <w:p>
      <w:pPr>
        <w:pStyle w:val="FirstParagraph"/>
      </w:pPr>
      <w:r>
        <w:t xml:space="preserve">AI-assisted RoB 2 assessment requires both interpretation of trial evidence and consistent application of the decision rules.[1] An assessment record can expose how a judgment was reached, but its interpretive quality remains an empirical question. RoB 2 reliability studies have documented disagreement and application difficulties; review-specific instructions and calibration were followed by improved agreement in one setting.[2,3] Work with the earlier Cochrane instrument also identified different interpretations of the same information across reviews.[4] These findings make the reference assessment and the basis of each judgment material to evaluating an automated workflow.</w:t>
      </w:r>
    </w:p>
    <w:p>
      <w:pPr>
        <w:pStyle w:val="BodyText"/>
      </w:pPr>
      <w:r>
        <w:t xml:space="preserve">Existing systems already make evidence and intermediate decisions available for review. RobotReviewer paired judgments with supporting sentences for the earlier instrument and evaluated text relevance separately from classification.[5] ROBOTO2 provides an interactive RoB 2 workflow with retrieved evidence and editable answers and judgments.[6] RoBGuard combines question reformulation, multimodal document parsing and collaboration among model roles for RoB 2 assessment.[7] Structured RoB 2 prompting has been compared with human assessments,[8,9] and same-model comparisons of direct and constrained prompts have been studied with the earlier instrument.[10] These precedents support evaluating what a specified implementation adds under a defined comparison.</w:t>
      </w:r>
    </w:p>
    <w:p>
      <w:pPr>
        <w:pStyle w:val="BodyText"/>
      </w:pPr>
      <w:r>
        <w:t xml:space="preserve">ARBITER retains trial documents, cited evidence, signalling answers and rating decisions. The model interprets the evidence; software derives proposed ratings from the recorded answers. The complete workflows used the same reported model identifier and configuration and identical supplied trial documents, while instructions, tools and processing differed. Independent expert ratings, blinded label choices and process audits then address distinct aspects of its output.</w:t>
      </w:r>
    </w:p>
    <w:bookmarkEnd w:id="16"/>
    <w:bookmarkStart w:id="17" w:name="objective-1"/>
    <w:p>
      <w:bookmarkStart w:id="79" w:name="loc_16"/>
      <w:pPr>
        <w:pStyle w:val="Heading2"/>
      </w:pPr>
      <w:r>
        <w:rPr>
          <w:b/>
        </w:rPr>
        <w:t>Objective</w:t>
      </w:r>
      <w:bookmarkEnd w:id="79"/>
    </w:p>
    <w:p>
      <w:pPr>
        <w:pStyle w:val="FirstParagraph"/>
      </w:pPr>
      <w:r>
        <w:t xml:space="preserve">We asked how often ARBITER’s judgments matched agreed blinded expert label choices when the workflows disagreed, and whether its complete workflow agreed more often with independent expert ratings than same-model minimal prompting. The label-choice endpoint was formally primary; independent expert agreement across all assessments was secondary. Supporting outcomes examined rule conformance, source records and computation.</w:t>
      </w:r>
    </w:p>
    <w:bookmarkEnd w:id="17"/>
    <w:bookmarkEnd w:id="18"/>
    <w:bookmarkStart w:id="25" w:name="materials-and-methods-1"/>
    <w:p>
      <w:bookmarkStart w:id="81" w:name="loc_18"/>
      <w:pPr>
        <w:pStyle w:val="Heading1"/>
      </w:pPr>
      <w:r>
        <w:rPr>
          <w:b/>
        </w:rPr>
        <w:t>MATERIALS AND METHODS</w:t>
      </w:r>
      <w:bookmarkEnd w:id="81"/>
    </w:p>
    <w:bookmarkStart w:id="19" w:name="system-design"/>
    <w:p>
      <w:bookmarkStart w:id="82" w:name="loc_19"/>
      <w:pPr>
        <w:pStyle w:val="Heading2"/>
      </w:pPr>
      <w:r>
        <w:rPr>
          <w:b/>
        </w:rPr>
        <w:t>System design</w:t>
      </w:r>
      <w:bookmarkEnd w:id="82"/>
    </w:p>
    <w:p>
      <w:pPr>
        <w:pStyle w:val="FirstParagraph"/>
      </w:pPr>
      <w:r>
        <w:t xml:space="preserve">ARBITER separates interpretation of trial evidence from application of the RoB 2 decision rules (Figure 1). The AI model identifies the result to assess and answers the signalling questions; software applies the official algorithms to those answers. It preserves source provenance by retaining documents with cryptographic hashes that identify their exact contents, extracting quoted passages and recording their locations. In interactive use, a reviewer can approve the proposed result before domain assessment and inspect the answers and cited evidence. The automated benchmark runs accepted the proposed result unchanged. The exported HTML report and accompanying audit file preserve the assessment for inspection.</w:t>
      </w:r>
    </w:p>
    <w:p>
      <w:pPr>
        <w:pStyle w:val="BodyText"/>
      </w:pPr>
      <w:r>
        <w:t xml:space="preserve">Each required signalling answer must cite an evidence basis. Software extracts text quotations directly from the stored documents and links image regions to source pages. Model-written image descriptions are not independently checked against image content. The software computes a proposed domain rating from the recorded answers; a different adopted rating requires a recorded rationale and evidence. We checked proposed and adopted ratings separately. The record preserves the basis of each judgment but does not establish whether the evidence supports the answer.</w:t>
      </w:r>
    </w:p>
    <w:p>
      <w:pPr>
        <w:pStyle w:val="BodyText"/>
      </w:pPr>
      <w:r>
        <w:t xml:space="preserve">The AVATAR assessment illustrates the pathway for all-cause death after early surgery versus watchful waiting in asymptomatic severe aortic stenosis (Figure 2; complete trace in the supplement). The case illustrates the workflow rather than typical performance. Its stored documents did not establish a dated analysis plan for the assessed result.</w:t>
      </w:r>
    </w:p>
    <w:bookmarkEnd w:id="19"/>
    <w:bookmarkStart w:id="21" w:name="benchmark-and-assessment-arms"/>
    <w:p>
      <w:bookmarkStart w:id="86" w:name="loc_23"/>
      <w:pPr>
        <w:pStyle w:val="Heading2"/>
      </w:pPr>
      <w:r>
        <w:rPr>
          <w:b/>
        </w:rPr>
        <w:t>Benchmark and assessment arms</w:t>
      </w:r>
      <w:bookmarkEnd w:id="86"/>
    </w:p>
    <w:p>
      <w:pPr>
        <w:pStyle w:val="FirstParagraph"/>
      </w:pPr>
      <w:r>
        <w:t xml:space="preserve">The source set contained 105 trials from 16 published meta-analyses. Within each review, trials were selected in table order, taking up to seven available eligible trials and replacing unavailable reports with the next eligible trial. Three trials were excluded under the analysis plan, leaving 102 trials. The supplementary benchmark table documents the reviews, specialties and source availability. [Pending: how the reviews were identified and selected, eligibility criteria and confirmation of the excluded design classifications.]</w:t>
      </w:r>
    </w:p>
    <w:p>
      <w:pPr>
        <w:pStyle w:val="BodyText"/>
      </w:pPr>
      <w:r>
        <w:t xml:space="preserve">The assessment task specified a result using the review’s reported outcome and available trial information, including the time point, comparison and numerical result as printed. It did not automatically select the trial’s primary outcome. Correspondence between the specified result and the published risk-of-bias label could be partial, inferred, different or indeterminate; some published labels covered several outcomes. Comparisons with published labels retained all domain cells; target uncertainty was considered qualitatively.</w:t>
      </w:r>
    </w:p>
    <w:p>
      <w:pPr>
        <w:pStyle w:val="BodyText"/>
      </w:pPr>
      <w:r>
        <w:t xml:space="preserve">Both arms received identical underlying trial evidence: articles, supplements, stored copies of registry records, protocols and statistical analysis plans available in the captured input set. Unassisted, the same-model minimal-prompt comparator, received copies of the registry records and acquired documents from the ARBITER run; these were not fetched anew. Availability varied by trial. The supplied De Waal registry record concerned another trial and did not establish information about the assessed result.</w:t>
      </w:r>
    </w:p>
    <w:p>
      <w:pPr>
        <w:pStyle w:val="BodyText"/>
      </w:pPr>
      <w:r>
        <w:t xml:space="preserve">Unassisted received the assessment task sentence and one fixed output-format sentence, without RoB 2 guidance. It could read and search local documents but had no access to ARBITER’s software service, assessment instructions or the web. ARBITER additionally received assessment instructions and guidance through an assessment skill, a packaged set of workflow instructions. The arms therefore shared trial evidence but differed in instructions and processing. The comparison evaluated the complete workflow and did not isolate the effects of guidance, software or computation. It also differed from the structured-prompt comparators used in several prior studies.[8,9,11,12]</w:t>
      </w:r>
    </w:p>
    <w:p>
      <w:pPr>
        <w:pStyle w:val="BodyText"/>
      </w:pPr>
      <w:r>
        <w:t xml:space="preserve">Both arms used</w:t>
      </w:r>
      <w:r>
        <w:t xml:space="preserve"> </w:t>
      </w:r>
      <w:r>
        <w:rPr>
          <w:rStyle w:val="VerbatimChar"/>
        </w:rPr>
        <w:t xml:space="preserve">claude-sonnet-5-5</w:t>
      </w:r>
      <w:r>
        <w:t xml:space="preserve">, medium effort, in Claude Code 2.1.278, with isolated settings and external connectors and memory disabled. ARBITER ran on 12 October 2026 and Unassisted on 14 October 2026, once per trial per arm. Identity of the immutable underlying model snapshot across the two dates was not established. eMethods identifies the evaluated software revision. The installable public release is ARBITER 1.0.0, commit</w:t>
      </w:r>
      <w:r>
        <w:t xml:space="preserve"> </w:t>
      </w:r>
      <w:hyperlink r:id="rId20">
        <w:r>
          <w:rPr>
            <w:rStyle w:val="Hyperlink"/>
          </w:rPr>
          <w:t xml:space="preserve">2f549ae</w:t>
        </w:r>
      </w:hyperlink>
      <w:r>
        <w:t xml:space="preserve">. The evaluated runner invoked</w:t>
      </w:r>
      <w:r>
        <w:t xml:space="preserve"> </w:t>
      </w:r>
      <w:r>
        <w:rPr>
          <w:rStyle w:val="VerbatimChar"/>
        </w:rPr>
        <w:t xml:space="preserve">/rob2-assess</w:t>
      </w:r>
      <w:r>
        <w:t xml:space="preserve">;</w:t>
      </w:r>
      <w:r>
        <w:t xml:space="preserve"> </w:t>
      </w:r>
      <w:r>
        <w:rPr>
          <w:rStyle w:val="VerbatimChar"/>
        </w:rPr>
        <w:t xml:space="preserve">/arbiter-assess</w:t>
      </w:r>
      <w:r>
        <w:t xml:space="preserve"> </w:t>
      </w:r>
      <w:r>
        <w:t xml:space="preserve">is the public command name. The retained release audit documents correspondence between the evaluated and public assessment commands, without establishing equivalence of the complete releases. The protocol allowed</w:t>
      </w:r>
      <w:r>
        <w:t xml:space="preserve"> </w:t>
      </w:r>
      <w:r>
        <w:t xml:space="preserve">“Continue.”</w:t>
      </w:r>
      <w:r>
        <w:t xml:space="preserve"> </w:t>
      </w:r>
      <w:r>
        <w:t xml:space="preserve">at most twice per phase without coaching. eMethods reproduces both prompt templates, the command invoking the ARBITER assessment skill, the Unassisted format instruction and a filled example. [Pending: development and selection of the prompts and assessment skill, data used in development, any overlap with the benchmark and documentation fixing the evaluated versions.]</w:t>
      </w:r>
    </w:p>
    <w:bookmarkEnd w:id="21"/>
    <w:bookmarkStart w:id="22" w:name="independent-expert-references"/>
    <w:p>
      <w:bookmarkStart w:id="92" w:name="loc_29"/>
      <w:pPr>
        <w:pStyle w:val="Heading2"/>
      </w:pPr>
      <w:r>
        <w:rPr>
          <w:b/>
        </w:rPr>
        <w:t>Independent expert references</w:t>
      </w:r>
      <w:bookmarkEnd w:id="92"/>
    </w:p>
    <w:p>
      <w:pPr>
        <w:pStyle w:val="FirstParagraph"/>
      </w:pPr>
      <w:r>
        <w:t xml:space="preserve">Two blinded experts assessed all 102 trials across the five domains. Each trial–domain pair constituted a cell. Each expert independently recorded and froze signalling answers and domain ratings before seeing any offered label. No AI was used for these judgments. Experts could consult sources beyond the arms’ inputs. [Pending: expert qualifications, experience and training; assessment instructions and guidance supplied; whether experts received the same specified targets as the arms; and conventions for assessing targets containing several outcomes.]</w:t>
      </w:r>
    </w:p>
    <w:p>
      <w:pPr>
        <w:pStyle w:val="BodyText"/>
      </w:pPr>
      <w:r>
        <w:t xml:space="preserve">Each expert then saw the published, Unassisted and ARBITER labels in an order randomized for each cell, without source identities or rationales, and chose the most defensible label. Each expert subsequently supplied a revised rating, which could differ from all offered labels, and recorded whether signalling answers were retained or changed. Independent ratings, label choices and revised ratings were analyzed separately. Blinded adjudication of discordant data-extraction items supplied a design precedent.[13] eMethods summarizes the assessment sequence; the completed assessment workbooks are available in the study repository. [Pending: original assessor instructions and blank assessment form.]</w:t>
      </w:r>
    </w:p>
    <w:bookmarkEnd w:id="22"/>
    <w:bookmarkStart w:id="23" w:name="outcomes"/>
    <w:p>
      <w:bookmarkStart w:id="95" w:name="loc_32"/>
      <w:pPr>
        <w:pStyle w:val="Heading2"/>
      </w:pPr>
      <w:r>
        <w:rPr>
          <w:b/>
        </w:rPr>
        <w:t>Outcomes</w:t>
      </w:r>
      <w:bookmarkEnd w:id="95"/>
    </w:p>
    <w:p>
      <w:pPr>
        <w:pStyle w:val="FirstParagraph"/>
      </w:pPr>
      <w:r>
        <w:t xml:space="preserve">The formal primary endpoint was the proportion of agreed expert label choices matching ARBITER among cells where the arms’ ratings differed. The denominator included only cells in which both experts chose the same label; the numerator included those where that label matched ARBITER. Credit followed label equality: every source matching the chosen label received credit, and neither arm received credit if neither matched. Cells with identical labels from all sources provided no information about label choice between sources. Sensitivity analyses used each expert’s choices across all arm disagreements and counted split choices as ARBITER losses without assigning Unassisted wins. The endpoint measures label-choice match, not preference for a system’s reasoning or workflow.</w:t>
      </w:r>
    </w:p>
    <w:p>
      <w:pPr>
        <w:pStyle w:val="BodyText"/>
      </w:pPr>
      <w:r>
        <w:t xml:space="preserve">Secondary outcomes compared each source with each expert’s independent domain ratings across all 510 cells using exact agreement, paired percentage-point differences between arms and linearly weighted Cohen’s κ. Reference ratings were read directly from the experts’ assessment records. Published labels were another source, not an expert standard. Supporting analyses included expert-to-expert agreement, unweighted κ, confusion matrices, expert means and restriction to cells where the independent experts agreed.</w:t>
      </w:r>
    </w:p>
    <w:p>
      <w:pPr>
        <w:pStyle w:val="BodyText"/>
      </w:pPr>
      <w:r>
        <w:t xml:space="preserve">Signalling-answer agreement distinguished five levels: yes, probably yes, no, probably no and no information. Collapsed coding combined definite and probable affirmative answers and combined definite and probable negative answers, leaving no information separate. Answers were matched by trial, domain, question and component. A component was an explicitly named part of an answer, such as a separate answer for a particular outcome; an undivided answer was treated as one component. Answers for different named components were not pooled. Missing, inactive, not applicable, unmatched and unresolved answers were excluded; paired contrasts required evaluable answers in both arms. These comparisons assessed signalling answers separately from the recorded domain ratings.</w:t>
      </w:r>
    </w:p>
    <w:p>
      <w:pPr>
        <w:pStyle w:val="BodyText"/>
      </w:pPr>
      <w:r>
        <w:t xml:space="preserve">Published-label comparisons used weighted κ, exact agreement, sensitivity for Some concerns or High, and specificity, with Gwet’s AC2 supplementary. An All-Low rule described label prevalence; its κ was suppressed because predictions lacked variance. Missing predictions counted as disagreement.</w:t>
      </w:r>
    </w:p>
    <w:p>
      <w:pPr>
        <w:pStyle w:val="BodyText"/>
      </w:pPr>
      <w:r>
        <w:t xml:space="preserve">Process outcomes assessed algorithm conformance, record completeness and source provenance. We applied the official RoB 2 algorithms to each arm’s own answers, using effect of assignment for deviations from intended interventions.[1] Ratings that contradicted their answers or omitted required questions constituted rule breaks; absent ratings and answer sets were unevaluable. A sensitivity analysis recursively resolved invalid required answers as negative or no information. Overall checks permitted escalation when multiple domains had Some concerns. Evidence coverage counted required active answers citing a passage or image. Quotation checks assessed whether evidence records identified the captured source and its location; audit-file checks assessed the integrity of the retained assessment files. These structural checks did not assess whether the evidence justified the answer. The algorithm determines proposed ratings; adopted ratings were checked separately because documented overrides were permitted.</w:t>
      </w:r>
    </w:p>
    <w:p>
      <w:pPr>
        <w:pStyle w:val="BodyText"/>
      </w:pPr>
      <w:r>
        <w:t xml:space="preserve">Computational outcomes were runtime, summed across the elapsed durations of the model’s turns, and application programming interface (API) list-price equivalents reconstructed from recorded token counts and fixed provider rates. The runs used a subscription, so these dollar estimates were not expenditure. eMethods details the treatment of cached inputs and additional model calls.</w:t>
      </w:r>
    </w:p>
    <w:p>
      <w:pPr>
        <w:pStyle w:val="BodyText"/>
      </w:pPr>
      <w:r>
        <w:t xml:space="preserve">Exploratory analyses examined derived Overall ratings, severity and direction of disagreement, and rules-only recomputation. Derived Overall took the worst independent domain rating without optional escalation for multiple Some concerns. It summarized the five domains and was not an independent sixth domain. Expert-reference analyses used all 102 trials; Published Overall comparisons used only the 81 trials with observed labels, excluding 21 without labels. Directional analyses partitioned ratings stricter or more lenient than Published into expert matches to the arm, Published or neither. Rules-only recomputation replaced Unassisted ratings that contradicted their answers while retaining invalid answer sequences and missing ratings. Original disagreement populations remained fixed; new ties could credit both arms. Binary expert comparisons and severity strata were exploratory. Label choices across all disputed cells and revised ratings were descriptive because offered labels could anchor responses.</w:t>
      </w:r>
    </w:p>
    <w:bookmarkEnd w:id="23"/>
    <w:bookmarkStart w:id="24" w:name="statistical-analysis"/>
    <w:p>
      <w:bookmarkStart w:id="103" w:name="loc_40"/>
      <w:pPr>
        <w:pStyle w:val="Heading2"/>
      </w:pPr>
      <w:r>
        <w:rPr>
          <w:b/>
        </w:rPr>
        <w:t>Statistical analysis</w:t>
      </w:r>
      <w:bookmarkEnd w:id="103"/>
    </w:p>
    <w:p>
      <w:pPr>
        <w:pStyle w:val="FirstParagraph"/>
      </w:pPr>
      <w:r>
        <w:t xml:space="preserve">We estimated uncertainty with 10,000 stratified trial-cluster bootstrap resamples, seed 20261018. Trials were sampled with replacement within each of the 16 fixed reviews, retaining each review’s trial count and carrying both arms and all domain ratings together. Paired contrasts shared resampling weights. Percentile 95% CIs quantify trial variation conditional on these reviews, two experts and observed model runs; they do not quantify variation across new reviews, experts or repeated runs. Expert means averaged expert-specific estimates within each shared resample. No</w:t>
      </w:r>
      <w:r>
        <w:t xml:space="preserve"> </w:t>
      </w:r>
      <w:r>
        <w:rPr>
          <w:i/>
          <w:iCs/>
        </w:rPr>
        <w:t xml:space="preserve">P</w:t>
      </w:r>
      <w:r>
        <w:t xml:space="preserve"> </w:t>
      </w:r>
      <w:r>
        <w:t>values or multiplicity adjustments were used. Analyses retained the primary, secondary and exploratory outcome distinctions specified above. Reporting was guided by TRIPOD-LLM and GRRAS, with an accompanying item map and author-completion fields.⁠[14,15]</w:t>
      </w:r>
    </w:p>
    <w:bookmarkEnd w:id="24"/>
    <w:bookmarkEnd w:id="25"/>
    <w:bookmarkStart w:id="26" w:name="results-1"/>
    <w:p>
      <w:bookmarkStart w:id="105" w:name="loc_42"/>
      <w:pPr>
        <w:pStyle w:val="Heading1"/>
      </w:pPr>
      <w:r>
        <w:rPr>
          <w:b/>
        </w:rPr>
        <w:t>RESULTS</w:t>
      </w:r>
      <w:bookmarkEnd w:id="105"/>
    </w:p>
    <w:p>
      <w:pPr>
        <w:pStyle w:val="FirstParagraph"/>
        <w:keepNext w:val="0"/>
        <w:keepLines/>
      </w:pPr>
      <w:r>
        <w:t xml:space="preserve">The 102 included trials yielded 510 trial–domain cells, all independently assessed by both experts (Figure 3; Table 1). Published labels were Low in 427/510 cells (83.7%), compared with 277/510 (54.3%) for Expert 1 and 346/510 (67.8%) for Expert 2. An all-Low rule matched 83.7% of Published domain labels. The experts agreed in 388/510 cells (76.1%; linearly weighted κ, 0.59).</w:t>
      </w:r>
    </w:p>
    <w:p>
      <w:bookmarkStart w:id="107" w:name="loc_44"/>
      <w:pPr>
        <w:pStyle w:val="Heading2"/>
        <w:keepNext/>
        <w:pageBreakBefore w:val="0"/>
        <w:spacing w:line="240" w:lineRule="auto" w:after="80"/>
      </w:pPr>
      <w:r>
        <w:rPr>
          <w:b/>
        </w:rPr>
        <w:t>Table 1. Benchmark and reference context</w:t>
      </w:r>
      <w:bookmarkEnd w:id="107"/>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3354"/>
        <w:gridCol w:w="6510"/>
      </w:tblGrid>
      <w:tr>
        <w:trPr>
          <w:cantSplit/>
          <w:tblHeader/>
        </w:trPr>
        <w:tc>
          <w:tcPr>
            <w:tcW w:type="dxa" w:w="3354"/>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start"/>
            </w:pPr>
            <w:r>
              <w:rPr>
                <w:rFonts w:ascii="Arial" w:hAnsi="Arial"/>
                <w:sz w:val="20"/>
                <w:b/>
              </w:rPr>
              <w:t xml:space="default">Characteristic</w:t>
            </w:r>
          </w:p>
        </w:tc>
        <w:tc>
          <w:tcPr>
            <w:tcW w:type="dxa" w:w="6510"/>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start"/>
            </w:pPr>
            <w:r>
              <w:rPr>
                <w:rFonts w:ascii="Arial" w:hAnsi="Arial"/>
                <w:sz w:val="20"/>
                <w:b/>
              </w:rPr>
              <w:t xml:space="default">Value</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Trials</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102</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Meta-analyses</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16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Specialties</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15</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Trials with protocol</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26/102 (25.5%)</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Trials with registry</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73/102 (71.6%)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Trials with SAP</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22/102 (21.6%)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Trials with supplement</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69/102 (67.6%)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D1–D5: Published</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Low: 427/510 (83.7%); Some concerns: 69/510 (13.5%); High: 14/510 (2.7%)</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D1–D5: Expert 1</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Low: 277/510 (54.3%); Some concerns: 163/510 (32.0%); High: 70/510 (13.7%)</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D1–D5: Expert 2</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Low: 346/510 (67.8%); Some concerns: 131/510 (25.7%); High: 33/510 (6.5%)</w:t>
            </w:r>
          </w:p>
        </w:tc>
      </w:tr>
      <w:tr>
        <w:trPr>
          <w:cantSplit/>
        </w:trPr>
        <w:tc>
          <w:tcPr>
            <w:gridSpan w:val="2"/>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keepNext w:val="0"/>
              <w:spacing w:before="0" w:after="0" w:line="240" w:lineRule="auto"/>
            </w:pPr>
            <w:r>
              <w:rPr>
                <w:rFonts w:ascii="Arial" w:hAnsi="Arial"/>
                <w:sz w:val="20"/>
              </w:rPr>
              <w:t xml:space="default">Reference categories are Low, Some concerns and High; each reference contributes 510 domain cells. Document counts are trials with each role recorded in the source inventory among 102 trials; roles can overlap. SAP, statistical analysis plan. Detailed distributions for all sources and derived Overall appear in the supplement.</w:t>
            </w:r>
          </w:p>
        </w:tc>
      </w:tr>
    </w:tbl>
    <w:p>
      <w:pPr>
        <w:pStyle w:val="BodyText"/>
        <w:keepNext w:val="0"/>
        <w:keepLines/>
      </w:pPr>
      <w:r>
        <w:t xml:space="preserve">The arms’ ratings differed in 80 cells; the experts chose the same label in 60 and split in 20. The agreed label matched ARBITER in 53/60 cells (88%; 95% CI, 80–96%) and Unassisted in 7/60 (12%), constituting the formal primary result (Table 2). Across all 80 disagreements, the label chosen by Expert 1 matched ARBITER in 63/80 (79%), and that chosen by Expert 2 matched ARBITER in 61/80 (76%). Counting every split choice against ARBITER gave 53/80 (66%).</w:t>
      </w:r>
    </w:p>
    <w:p>
      <w:bookmarkStart w:id="109" w:name="loc_46"/>
      <w:pPr>
        <w:pStyle w:val="Heading2"/>
        <w:keepNext/>
        <w:pageBreakBefore w:val="0"/>
        <w:spacing w:line="240" w:lineRule="auto" w:after="80"/>
      </w:pPr>
      <w:r>
        <w:rPr>
          <w:b/>
        </w:rPr>
        <w:t>Table 2. Conditional primary endpoint and core sensitivities</w:t>
      </w:r>
      <w:bookmarkEnd w:id="109"/>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3354"/>
        <w:gridCol w:w="6510"/>
      </w:tblGrid>
      <w:tr>
        <w:trPr>
          <w:cantSplit/>
          <w:tblHeader/>
        </w:trPr>
        <w:tc>
          <w:tcPr>
            <w:tcW w:type="dxa" w:w="3354"/>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start"/>
            </w:pPr>
            <w:r>
              <w:rPr>
                <w:rFonts w:ascii="Arial" w:hAnsi="Arial"/>
                <w:sz w:val="20"/>
                <w:b/>
              </w:rPr>
              <w:t xml:space="default">Population</w:t>
            </w:r>
          </w:p>
        </w:tc>
        <w:tc>
          <w:tcPr>
            <w:tcW w:type="dxa" w:w="6510"/>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end"/>
            </w:pPr>
            <w:r>
              <w:rPr>
                <w:rFonts w:ascii="Arial" w:hAnsi="Arial"/>
                <w:sz w:val="20"/>
                <w:b/>
              </w:rPr>
              <w:t xml:space="default">ARBITER, No./total (%) (95% CI)</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Agreed choices (formal primary)</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53/60 (88%; 80–96)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Expert 1</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63/80 (79%; 70–87)</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Expert 2</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61/80 (76%; 68–85)</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All splits counted against ARBITER</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53/80 (66%; 58–75)</w:t>
            </w:r>
          </w:p>
        </w:tc>
      </w:tr>
      <w:tr>
        <w:trPr>
          <w:cantSplit/>
        </w:trPr>
        <w:tc>
          <w:tcPr>
            <w:gridSpan w:val="2"/>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keepNext w:val="0"/>
              <w:spacing w:before="0" w:after="0" w:line="240" w:lineRule="auto"/>
            </w:pPr>
            <w:r>
              <w:rPr>
                <w:rFonts w:ascii="Arial" w:hAnsi="Arial"/>
                <w:sz w:val="20"/>
              </w:rPr>
              <w:t xml:space="default">The formal primary endpoint conditions on 80 arm-discordant cells and the 60 for which the experts made an agreed choice; 20 choices split. Expert-specific sensitivities use all 80. The final row counts all 20 splits against ARBITER by assumption, without assigning Unassisted wins. Expert 1 chose neither arm in 4/80 cells; this is distinct from the split-loss assumption. CI, 95% confidence interval; 10,000 percentile bootstrap replicates, trials resampled within meta-analysis; seed 20261018.</w:t>
            </w:r>
          </w:p>
        </w:tc>
      </w:tr>
    </w:tbl>
    <w:p>
      <w:pPr>
        <w:pStyle w:val="BodyText"/>
      </w:pPr>
      <w:r>
        <w:t xml:space="preserve">Across the full cohort, ARBITER agreed more often with both independent experts (Figure 4). It matched Expert 1 in 371/510 cells (72.7%) versus 332/510 (65.1%) for Unassisted, a paired gain of 7.6 percentage points (95% CI, 5.1–10.2). Against Expert 2, agreement was 433/510 (84.9%) versus 400/510 (78.4%), a gain of 6.5 points (3.5–9.4). Weighted κ values were 0.51 and 0.69 for ARBITER, compared with 0.35 and 0.53 for Unassisted.</w:t>
      </w:r>
    </w:p>
    <w:p>
      <w:pPr>
        <w:pStyle w:val="BodyText"/>
      </w:pPr>
      <w:r>
        <w:t xml:space="preserve">Agreement gains varied by domain, alongside disagreement between experts. Selection of the reported result (D5) had the largest observed gains: 19.6 points (95% CI, 11.8–27.5) and 11.8 (2.9–20.6) against Experts 1 and 2. For missing outcome data (D3), ARBITER matched 43/102 ratings from Expert 1 (42.2%) and 80/102 from Expert 2 (78.4%); the experts agreed in 54/102 cells.</w:t>
      </w:r>
    </w:p>
    <w:p>
      <w:pPr>
        <w:pStyle w:val="BodyText"/>
      </w:pPr>
      <w:r>
        <w:t xml:space="preserve">Published labels matched the experts in 301/510 and 362/510 cells. Against Published across all 510 cells, ARBITER matched 386/510 (75.7%) and Unassisted 395/510 (77.5%), a paired difference of −1.8 points (95% CI, −5.1 to 1.6).</w:t>
      </w:r>
    </w:p>
    <w:p>
      <w:pPr>
        <w:pStyle w:val="BodyText"/>
      </w:pPr>
      <w:r>
        <w:t xml:space="preserve">Signalling-answer agreement depended on whether probable and definite answers were distinguished (Figure 5). In D3 against Expert 1, the five-level paired ARBITER minus Unassisted difference was −10.3 points (95% CI, −17.2 to −3.2), whereas the collapsed difference was +8.5 (3.5–13.7), both using 165 paired components. In D5, collapsed gains were +11.3 points against Expert 1, using 301 paired components, and +3.7 (−0.3 to 7.4) against Expert 2, using 300. The supplement reports complete question-level results and source-specific absolute rates, whose eligible denominators may differ from those of the paired contrasts. Exploratory rules-only recomputation changed 26 Unassisted labels while retaining their recorded answers, invalid answer sequences and missingness.</w:t>
      </w:r>
    </w:p>
    <w:p>
      <w:pPr>
        <w:pStyle w:val="BodyText"/>
        <w:keepNext w:val="0"/>
        <w:keepLines/>
      </w:pPr>
      <w:r>
        <w:t xml:space="preserve">All 510 adopted ARBITER domain outputs conformed to the algorithms, with no recorded domain overrides (Table 3). Proposed ratings are determined algorithmically; the absence of overrides and conformance of adopted ratings were observations in this benchmark. Unassisted had rule breaks in 65/509 evaluable domain outputs: 26 contradictory ratings and 39 required-question omissions; one cell was unevaluable. All 1538 active required answers cited a passage or image. All 1407/1407 text spans and 14 image records passed source-provenance checks, and all 102 exported assessment records passed completeness and consistency checks. These audits counted different objects and did not establish whether the cited evidence supported the answers.</w:t>
      </w:r>
    </w:p>
    <w:p>
      <w:bookmarkStart w:id="115" w:name="loc_52"/>
      <w:pPr>
        <w:pStyle w:val="Heading2"/>
        <w:keepNext/>
        <w:pageBreakBefore w:val="0"/>
        <w:spacing w:line="240" w:lineRule="auto" w:after="80"/>
      </w:pPr>
      <w:r>
        <w:rPr>
          <w:b/>
        </w:rPr>
        <w:t>Table 3. Process checks and computational resources</w:t>
      </w:r>
      <w:bookmarkEnd w:id="115"/>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3817"/>
        <w:gridCol w:w="1587"/>
        <w:gridCol w:w="2098"/>
        <w:gridCol w:w="2362"/>
      </w:tblGrid>
      <w:tr>
        <w:trPr>
          <w:cantSplit/>
          <w:tblHeader/>
        </w:trPr>
        <w:tc>
          <w:tcPr>
            <w:tcW w:type="dxa" w:w="3817"/>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start"/>
            </w:pPr>
            <w:r>
              <w:rPr>
                <w:rFonts w:ascii="Arial" w:hAnsi="Arial"/>
                <w:sz w:val="20"/>
                <w:b/>
              </w:rPr>
              <w:t xml:space="default">Measure</w:t>
            </w:r>
          </w:p>
        </w:tc>
        <w:tc>
          <w:tcPr>
            <w:tcW w:type="dxa" w:w="1587"/>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end"/>
            </w:pPr>
            <w:r>
              <w:rPr>
                <w:rFonts w:ascii="Arial" w:hAnsi="Arial"/>
                <w:sz w:val="20"/>
                <w:b/>
              </w:rPr>
              <w:t xml:space="default">ARBITER</w:t>
            </w:r>
          </w:p>
        </w:tc>
        <w:tc>
          <w:tcPr>
            <w:tcW w:type="dxa" w:w="2098"/>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end"/>
            </w:pPr>
            <w:r>
              <w:rPr>
                <w:rFonts w:ascii="Arial" w:hAnsi="Arial"/>
                <w:sz w:val="20"/>
                <w:b/>
              </w:rPr>
              <w:t xml:space="default">Unassisted</w:t>
            </w:r>
          </w:p>
        </w:tc>
        <w:tc>
          <w:tcPr>
            <w:tcW w:type="dxa" w:w="2362"/>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end"/>
            </w:pPr>
            <w:r>
              <w:rPr>
                <w:rFonts w:ascii="Arial" w:hAnsi="Arial"/>
                <w:sz w:val="20"/>
                <w:b/>
              </w:rPr>
              <w:t xml:space="default">Paired mean difference (95% CI)</w:t>
            </w:r>
          </w:p>
        </w:tc>
      </w:tr>
      <w:tr>
        <w:trPr>
          <w:cantSplit/>
        </w:trPr>
        <w:tc>
          <w:tcPr>
            <w:gridSpan w:val="4"/>
            <w:tcW w:type="dxa" w:w="9864"/>
            <w:tcMar>
              <w:top w:type="dxa" w:w="35"/>
              <w:bottom w:type="dxa" w:w="35"/>
              <w:start w:type="dxa" w:w="70"/>
              <w:end w:type="dxa" w:w="70"/>
            </w:tcMar>
            <w:tcBorders>
              <w:top w:val="single" w:sz="6" w:color="666666"/>
              <w:bottom w:val="nil" w:sz="0" w:color="666666"/>
              <w:start w:val="nil" w:sz="0" w:color="666666"/>
              <w:end w:val="nil" w:sz="0" w:color="666666"/>
            </w:tcBorders>
            <w:shd w:fill="F4F4F4"/>
          </w:tcPr>
          <w:p>
            <w:pPr>
              <w:keepNext/>
              <w:spacing w:before="0" w:after="0" w:line="240" w:lineRule="auto"/>
            </w:pPr>
            <w:r>
              <w:rPr>
                <w:rFonts w:ascii="Arial" w:hAnsi="Arial"/>
                <w:sz w:val="20"/>
                <w:b/>
              </w:rPr>
              <w:t xml:space="default">A. Rule conformance</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Domain outputs reproduced from proposals</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510/510 (100.0%)</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Not available</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Rating contradicts its own answers</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0 by design</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26/509 (5.1%; 3.3–6.9)</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Required question skipped</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0 by design</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39/509 (7.7%; 5.7–10.0)</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Any rule break</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0 by design</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65/509 (12.8%; 10.0–15.6)</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gridSpan w:val="4"/>
            <w:tcW w:type="dxa" w:w="9864"/>
            <w:tcMar>
              <w:top w:type="dxa" w:w="35"/>
              <w:bottom w:type="dxa" w:w="35"/>
              <w:start w:type="dxa" w:w="70"/>
              <w:end w:type="dxa" w:w="70"/>
            </w:tcMar>
            <w:tcBorders>
              <w:top w:val="single" w:sz="6" w:color="666666"/>
              <w:bottom w:val="nil" w:sz="0" w:color="666666"/>
              <w:start w:val="nil" w:sz="0" w:color="666666"/>
              <w:end w:val="nil" w:sz="0" w:color="666666"/>
            </w:tcBorders>
            <w:shd w:fill="F4F4F4"/>
          </w:tcPr>
          <w:p>
            <w:pPr>
              <w:keepNext/>
              <w:spacing w:before="0" w:after="0" w:line="240" w:lineRule="auto"/>
            </w:pPr>
            <w:r>
              <w:rPr>
                <w:rFonts w:ascii="Arial" w:hAnsi="Arial"/>
                <w:sz w:val="20"/>
                <w:b/>
              </w:rPr>
              <w:t xml:space="default">B. Structural record checks</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Answers citing ≥1 passage or image</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1,538/1,538 (100.0%)</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Not available</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Quoted text linked to its source</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1,407/1,407 (100.0%)</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Not available</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tcW w:type="dxa" w:w="3817"/>
            <w:tcMar>
              <w:top w:type="dxa" w:w="35"/>
              <w:bottom w:type="dxa" w:w="35"/>
              <w:start w:type="dxa" w:w="70"/>
              <w:end w:type="dxa" w:w="90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Image regions linked to their page</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14/14 (100%)</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Not available</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Audit file passes the independent verifier</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102/102 (100.0%)</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Not available</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gridSpan w:val="4"/>
            <w:tcW w:type="dxa" w:w="9864"/>
            <w:tcMar>
              <w:top w:type="dxa" w:w="35"/>
              <w:bottom w:type="dxa" w:w="35"/>
              <w:start w:type="dxa" w:w="70"/>
              <w:end w:type="dxa" w:w="70"/>
            </w:tcMar>
            <w:tcBorders>
              <w:top w:val="single" w:sz="6" w:color="666666"/>
              <w:bottom w:val="nil" w:sz="0" w:color="666666"/>
              <w:start w:val="nil" w:sz="0" w:color="666666"/>
              <w:end w:val="nil" w:sz="0" w:color="666666"/>
            </w:tcBorders>
            <w:shd w:fill="F4F4F4"/>
          </w:tcPr>
          <w:p>
            <w:pPr>
              <w:keepNext/>
              <w:spacing w:before="0" w:after="0" w:line="240" w:lineRule="auto"/>
            </w:pPr>
            <w:r>
              <w:rPr>
                <w:rFonts w:ascii="Arial" w:hAnsi="Arial"/>
                <w:sz w:val="20"/>
                <w:b/>
              </w:rPr>
              <w:t xml:space="default">C. Computational resources</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Runtime (minutes/trial), median (IQR)</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7.6 (6.1–10.5)</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0.5 (0.4–0.5)</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11.0 (8.4–14.1)</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API list-price equivalent (US$/trial), median (IQR)</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3.78 (3.46–4.10)</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0.09 (0.07–0.13)</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3.68 (3.61–3.75)</w:t>
            </w:r>
          </w:p>
        </w:tc>
      </w:tr>
      <w:tr>
        <w:trPr>
          <w:cantSplit/>
        </w:trPr>
        <w:tc>
          <w:tcPr>
            <w:gridSpan w:val="4"/>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keepNext w:val="0"/>
              <w:spacing w:before="0" w:after="0" w:line="240" w:lineRule="auto"/>
            </w:pPr>
            <w:r>
              <w:rPr>
                <w:rFonts w:ascii="Arial" w:hAnsi="Arial"/>
                <w:sz w:val="20"/>
              </w:rPr>
              <w:t xml:space="default">Unassisted rule-break cells show No./total (%; 95% CI); CI bounds are percentages. Domain rules use evaluable ratings (ARBITER 510; Unassisted 509); one Unassisted cell is unevaluable. Evidence denominators count active answers or distinct evidence records as indicated; verifier denominator is 102 bundles. ARBITER has no recorded domain overrides; one Overall escalation is permitted. Evidence checks establish quotation occurrence and structural binding, without assessing answer support. Runtime and API list-price equivalents use 102 paired trials; source summaries are median (IQR), contrasts are paired mean differences. Cost is a frozen-rate equivalent, not expenditure. — means not applicable; Not available means not measured. CI, 95% confidence interval; 10,000 percentile bootstrap replicates, trials resampled within meta-analysis; seed 20261018.</w:t>
            </w:r>
          </w:p>
        </w:tc>
      </w:tr>
    </w:tbl>
    <w:p>
      <w:pPr>
        <w:pStyle w:val="BodyText"/>
      </w:pPr>
      <w:r>
        <w:t xml:space="preserve">ARBITER required more computation. Median (IQR) runtime was 7.6 (6.1–10.5) versus 0.5 (0.4–0.5) minutes per trial; the paired mean difference was 11.0 minutes (95% CI, 8.4–14.1). Median (IQR) API list-price equivalents were US$3.78 (3.46–4.10) versus US$0.09 (0.07–0.13), with a paired mean difference of US$3.68 (3.61–3.75).</w:t>
      </w:r>
    </w:p>
    <w:bookmarkEnd w:id="26"/>
    <w:bookmarkStart w:id="28" w:name="discussion-1"/>
    <w:p>
      <w:bookmarkStart w:id="117" w:name="loc_54"/>
      <w:pPr>
        <w:pStyle w:val="Heading1"/>
      </w:pPr>
      <w:r>
        <w:rPr>
          <w:b/>
        </w:rPr>
        <w:t>DISCUSSION</w:t>
      </w:r>
      <w:bookmarkEnd w:id="117"/>
    </w:p>
    <w:p>
      <w:pPr>
        <w:pStyle w:val="FirstParagraph"/>
      </w:pPr>
      <w:r>
        <w:t xml:space="preserve">ARBITER retained an inspectable assessment pathway and had greater agreement with both independent experts than Unassisted across the 510 trial–domain assessments. These secondary comparisons used ratings frozen before experts saw offered labels. The formal primary endpoint concerned a selected subset: among 80 arm-discordant assessments, experts agreed on 60 blinded label choices and split on 20; 53/60 agreed choices matched ARBITER (88%; 95% CI, 80–96%). Because experts saw labels without source identities or rationales, this result measures conditional label matching. It does not establish endorsement of ARBITER or its reasoning. The independent ratings provide the broader agreement comparison.</w:t>
      </w:r>
    </w:p>
    <w:p>
      <w:pPr>
        <w:pStyle w:val="BodyText"/>
      </w:pPr>
      <w:r>
        <w:t xml:space="preserve">That agreement advantage was not uniform. Selection of the reported result (D5) had the largest observed domain-rating gains, whereas missing outcome data (D3) showed marked reference dependence. For D3 signalling answers against Expert 1, the paired ARBITER minus Unassisted difference was unfavorable with five-level coding, −10.3 percentage points (95% CI, −17.2 to −3.2), and favorable with collapsed coding, +8.5 (3.5–13.7). Combining probable with definite answers changes the distinctions being assessed; the favorable collapsed estimate does not remove the adverse five-level finding. The D5 collapsed contrast against Expert 2 was also smaller, +3.7 points (−0.3 to 7.4). Neither pattern identifies why the experts or workflows differed, and intervals for individual estimates do not test differences between domains.</w:t>
      </w:r>
    </w:p>
    <w:p>
      <w:pPr>
        <w:pStyle w:val="BodyText"/>
      </w:pPr>
      <w:r>
        <w:t xml:space="preserve">The reference also changed the overall interpretation. Against Published labels, the paired ARBITER minus Unassisted difference was −1.8 percentage points (95% CI, −5.1 to 1.6), compatible with either direction. Published labels were predominantly Low, and some covered broader, inferred or different assessment targets. These differences qualify their use as a reference without establishing the cause of disagreement. Huang and Gandhi likewise evaluated model assessments against both review-derived and fresh human references,[8,9] while Nyrhi used published assessments in separate RoB 1 and RoB 2 corpora.[16] Those designs do not supply interchangeable standards. Our experts could consult sources beyond the arms’ inputs, and their own disagreement, especially in D3, precludes treating fresh ratings as error-free truth.</w:t>
      </w:r>
    </w:p>
    <w:p>
      <w:pPr>
        <w:pStyle w:val="BodyText"/>
      </w:pPr>
      <w:r>
        <w:t xml:space="preserve">The retained record allows these interpretations to be examined. In the illustrative AVATAR assessment, stored documents did not establish a dated analysis plan for the assessed result; the answers and cited passages preserve the basis for that judgment. ARBITER binds text quotations and image regions to stored sources and records their locations. Software computes proposed ratings, while a different adopted rating requires evidence and a rationale. All 510 adopted domain outputs conformed to the executable rules, and no domain overrides occurred. This observed conformance concerns the transition from recorded answers to ratings. It leaves the appropriateness of those answers open to assessment.</w:t>
      </w:r>
    </w:p>
    <w:p>
      <w:pPr>
        <w:pStyle w:val="BodyText"/>
      </w:pPr>
      <w:r>
        <w:t xml:space="preserve">Conformance is already an explicit evaluation target in related work. Choi and colleagues examined expert agreement, rule conformance and repeated outputs in a single-trial pilot.[17] Their questions overlap with ours, but their repeated single-trial design and this multi-trial, single-run comparison address different sources of variation. LogiMed-RoB audits hierarchical consistency in RoB 2 assessments.[18] ARBITER’s source checks assess a different property: they establish source binding and record integrity without determining whether passages justify answers; image descriptions remained model-written. Liang’s RoB 2 retrieve-then-verify study addresses evidence support using a judge model, rather than independent human adjudication.[19] Independent assessment of each passage-to-answer relation, including image-derived interpretations, remains necessary to evaluate that property in ARBITER.</w:t>
      </w:r>
    </w:p>
    <w:p>
      <w:pPr>
        <w:pStyle w:val="BodyText"/>
      </w:pPr>
      <w:r>
        <w:t xml:space="preserve">The observed differences belong to the complete workflows. Identical supplied trial documents and a common reported model identifier and configuration make the comparison informative, but ARBITER also received additional guidance, tools and computation. The study cannot attribute its agreement advantage to rule enforcement, evidence recording or another component. Rules-only recomputation describes internal consistency but cannot recover those component effects. Minimal prompting also does not represent the structured alternatives already evaluated.[6,8,9,10] RoB2-Evaluator, described in a preprint, is another rule-constrained RoB 2 implementation.[20] ARBITER required greater computation: median runtime was 7.6 versus 0.5 minutes per trial, with higher API list-price equivalents. These quantities describe computational burden; the subscription-based runs did not incur those reconstructed list-price amounts as expenditure.</w:t>
      </w:r>
    </w:p>
    <w:p>
      <w:pPr>
        <w:pStyle w:val="BodyText"/>
      </w:pPr>
      <w:r>
        <w:t xml:space="preserve">Generalization is bounded by ordered, availability-dependent trial selection, 16 fixed reviews, two experts and one run per trial per arm. Bootstrap intervals describe trial variation within those reviews, conditional on the observed experts and runs. They do not quantify variation across new reviews, assessors or repeated runs. Prior model exposure to reports is unknown. Offered labels could influence forced choices and revised ratings, despite source blinding. Results pertain to the evaluated software revision; documented assessment-command correspondence does not establish equivalence with the complete public release.</w:t>
      </w:r>
    </w:p>
    <w:p>
      <w:pPr>
        <w:pStyle w:val="BodyText"/>
      </w:pPr>
      <w:r>
        <w:t xml:space="preserve">Reviewer use requires a separate evaluation. Soboczenski and colleagues randomized manual and RobotReviewer-assisted tasks using four domains of the earlier instrument, directly observing assessment time and reviewer behavior.[21] Jardim’s study in ongoing reviews found mixed acceptability and lacked a manual-only time comparison.[22] These studies show why output agreement, checking time and adoption merit separate outcomes. They do not establish benefit for ARBITER. A reviewer study should examine whether users detect unsupported interpretations, how long verification takes and how suggestions affect their final judgments, without treating acceptance or correction rates as semantic validation. ARBITER’s computational runtime cannot answer those questions.</w:t>
      </w:r>
    </w:p>
    <w:bookmarkStart w:id="27" w:name="conclusion-1"/>
    <w:p>
      <w:bookmarkStart w:id="126" w:name="loc_63"/>
      <w:pPr>
        <w:pStyle w:val="Heading2"/>
      </w:pPr>
      <w:r>
        <w:rPr>
          <w:b/>
        </w:rPr>
        <w:t>Conclusion</w:t>
      </w:r>
      <w:bookmarkEnd w:id="126"/>
    </w:p>
    <w:p>
      <w:pPr>
        <w:pStyle w:val="FirstParagraph"/>
      </w:pPr>
      <w:r>
        <w:t xml:space="preserve">ARBITER preserves the pathway from supplied sources through signalling answers to RoB 2 rating decisions. Its complete workflow agreed more often with both independent experts than same-model minimal prompting, with domain and reference dependence. The retained record supports inspection; evidence support and benefit during reviewer use remain to be evaluated.</w:t>
      </w:r>
    </w:p>
    <w:bookmarkEnd w:id="27"/>
    <w:bookmarkEnd w:id="28"/>
    <w:bookmarkStart w:id="38" w:name="back-matter"/>
    <w:p>
      <w:bookmarkStart w:id="128" w:name="loc_65"/>
      <w:pPr>
        <w:pStyle w:val="Heading1"/>
      </w:pPr>
      <w:r>
        <w:rPr>
          <w:b/>
        </w:rPr>
        <w:t>BACK MATTER</w:t>
      </w:r>
      <w:bookmarkEnd w:id="128"/>
    </w:p>
    <w:bookmarkStart w:id="29" w:name="acknowledgments-and-ai-use"/>
    <w:p>
      <w:bookmarkStart w:id="129" w:name="loc_66"/>
      <w:pPr>
        <w:pStyle w:val="Heading2"/>
      </w:pPr>
      <w:r>
        <w:rPr>
          <w:b/>
        </w:rPr>
        <w:t>Acknowledgments and AI use</w:t>
      </w:r>
      <w:bookmarkEnd w:id="129"/>
    </w:p>
    <w:p>
      <w:pPr>
        <w:pStyle w:val="FirstParagraph"/>
      </w:pPr>
      <w:r>
        <w:t xml:space="preserve">[Non-author contributors and acknowledgments]. OpenAI GPT-6-Astra, GPT-6.1-Sol and GPT-6-Luna, accessed through T3 Code, assisted literature research, drafting and editorial checks in this revision. Final author review, approval and accountability remain pending; any AI assistance before this revision remains to be confirmed. [Author to verify the complete disclosure, including any AI use in code, data processing or figures, and provide matching cover-letter disclosure]. The expert assessments and forced-choice adjudication used no AI.</w:t>
      </w:r>
    </w:p>
    <w:bookmarkEnd w:id="29"/>
    <w:bookmarkStart w:id="30" w:name="funding"/>
    <w:p>
      <w:bookmarkStart w:id="131" w:name="loc_68"/>
      <w:pPr>
        <w:pStyle w:val="Heading2"/>
      </w:pPr>
      <w:r>
        <w:rPr>
          <w:b/>
        </w:rPr>
        <w:t>Funding</w:t>
      </w:r>
      <w:bookmarkEnd w:id="131"/>
    </w:p>
    <w:p>
      <w:pPr>
        <w:pStyle w:val="FirstParagraph"/>
      </w:pPr>
      <w:r>
        <w:t xml:space="preserve">[Funding sources, grant identifiers and funder role, or an explicit statement of no funding].</w:t>
      </w:r>
    </w:p>
    <w:bookmarkEnd w:id="30"/>
    <w:bookmarkStart w:id="31" w:name="competing-interests"/>
    <w:p>
      <w:bookmarkStart w:id="133" w:name="loc_70"/>
      <w:pPr>
        <w:pStyle w:val="Heading2"/>
      </w:pPr>
      <w:r>
        <w:rPr>
          <w:b/>
        </w:rPr>
        <w:t>Competing interests</w:t>
      </w:r>
      <w:bookmarkEnd w:id="133"/>
    </w:p>
    <w:p>
      <w:pPr>
        <w:pStyle w:val="FirstParagraph"/>
      </w:pPr>
      <w:r>
        <w:t xml:space="preserve">[Author-specific competing interests, including relevant relationships to ARBITER, or an explicit declaration of none].</w:t>
      </w:r>
    </w:p>
    <w:bookmarkEnd w:id="31"/>
    <w:bookmarkStart w:id="32" w:name="author-contributions"/>
    <w:p>
      <w:bookmarkStart w:id="135" w:name="loc_72"/>
      <w:pPr>
        <w:pStyle w:val="Heading2"/>
      </w:pPr>
      <w:r>
        <w:rPr>
          <w:b/>
        </w:rPr>
        <w:t>Author contributions</w:t>
      </w:r>
      <w:bookmarkEnd w:id="135"/>
    </w:p>
    <w:p>
      <w:pPr>
        <w:pStyle w:val="FirstParagraph"/>
      </w:pPr>
      <w:r>
        <w:t xml:space="preserve">[Author names mapped to CRediT roles; confirmation of final approval and accountability].</w:t>
      </w:r>
    </w:p>
    <w:bookmarkEnd w:id="32"/>
    <w:bookmarkStart w:id="33" w:name="Xa795f839aa3476760733bd38e4d2d15944e6881"/>
    <w:p>
      <w:bookmarkStart w:id="137" w:name="loc_74"/>
      <w:pPr>
        <w:pStyle w:val="Heading2"/>
      </w:pPr>
      <w:r>
        <w:rPr>
          <w:b/>
        </w:rPr>
        <w:t>Ethics, registration and public involvement</w:t>
      </w:r>
      <w:bookmarkEnd w:id="137"/>
    </w:p>
    <w:p>
      <w:pPr>
        <w:pStyle w:val="FirstParagraph"/>
      </w:pPr>
      <w:r>
        <w:t xml:space="preserve">[Ethics approval or exemption determination and consent requirements, including the expert assessment and forced-choice component]. [Study registration status and identifier, if applicable]. [Patient and public involvement statement].</w:t>
      </w:r>
    </w:p>
    <w:bookmarkEnd w:id="33"/>
    <w:bookmarkStart w:id="37" w:name="data-availability"/>
    <w:p>
      <w:bookmarkStart w:id="139" w:name="loc_76"/>
      <w:pPr>
        <w:pStyle w:val="Heading2"/>
      </w:pPr>
      <w:r>
        <w:rPr>
          <w:b/>
        </w:rPr>
        <w:t>Data availability</w:t>
      </w:r>
      <w:bookmarkEnd w:id="139"/>
    </w:p>
    <w:p>
      <w:pPr>
        <w:pStyle w:val="FirstParagraph"/>
      </w:pPr>
      <w:r>
        <w:t xml:space="preserve">The</w:t>
      </w:r>
      <w:r>
        <w:t xml:space="preserve"> </w:t>
      </w:r>
      <w:hyperlink r:id="rId34">
        <w:r>
          <w:rPr>
            <w:rStyle w:val="Hyperlink"/>
          </w:rPr>
          <w:t xml:space="preserve">public study repository</w:t>
        </w:r>
      </w:hyperlink>
      <w:r>
        <w:t xml:space="preserve"> </w:t>
      </w:r>
      <w:r>
        <w:t xml:space="preserve">provides analysis code, derived data, expert assessment sheets, prompts and reproducibility materials. An archival DOI and complete dataset citation remain pending. ARBITER source is available at</w:t>
      </w:r>
      <w:r>
        <w:t xml:space="preserve"> </w:t>
      </w:r>
      <w:hyperlink r:id="rId20">
        <w:r>
          <w:rPr>
            <w:rStyle w:val="Hyperlink"/>
          </w:rPr>
          <w:t xml:space="preserve">the public software commit</w:t>
        </w:r>
      </w:hyperlink>
      <w:r>
        <w:t xml:space="preserve">. The</w:t>
      </w:r>
      <w:r>
        <w:t xml:space="preserve"> </w:t>
      </w:r>
      <w:hyperlink r:id="rId35">
        <w:r>
          <w:rPr>
            <w:rStyle w:val="Hyperlink"/>
          </w:rPr>
          <w:t xml:space="preserve">results report</w:t>
        </w:r>
      </w:hyperlink>
      <w:r>
        <w:t xml:space="preserve"> </w:t>
      </w:r>
      <w:r>
        <w:t xml:space="preserve">and</w:t>
      </w:r>
      <w:r>
        <w:t xml:space="preserve"> </w:t>
      </w:r>
      <w:hyperlink r:id="rId36">
        <w:r>
          <w:rPr>
            <w:rStyle w:val="Hyperlink"/>
          </w:rPr>
          <w:t xml:space="preserve">supplement</w:t>
        </w:r>
      </w:hyperlink>
      <w:r>
        <w:t xml:space="preserve"> </w:t>
      </w:r>
      <w:r>
        <w:t xml:space="preserve">provide the figures, editable tables and reproduction links. Trial PDFs will not be redistributed; trial DOIs and source-file hashes will identify the inputs. Author declarations and archival registration remain pending completion.</w:t>
      </w:r>
    </w:p>
    <w:bookmarkEnd w:id="37"/>
    <w:bookmarkEnd w:id="38"/>
    <w:bookmarkStart w:id="61" w:name="references"/>
    <w:p>
      <w:bookmarkStart w:id="141" w:name="loc_78"/>
      <w:pPr>
        <w:pStyle w:val="Heading1"/>
      </w:pPr>
      <w:r>
        <w:rPr>
          <w:b/>
        </w:rPr>
        <w:t>REFERENCES</w:t>
      </w:r>
      <w:bookmarkEnd w:id="141"/>
    </w:p>
    <w:p>
      <w:pPr>
        <w:numPr>
          <w:ilvl w:val="0"/>
          <w:numId w:val="1001"/>
        </w:numPr>
      </w:pPr>
      <w:r>
        <w:t xml:space="preserve">Sterne JAC, Savović J, Page MJ, et al. RoB 2: a revised tool for assessing risk of bias in randomised trials.</w:t>
      </w:r>
      <w:r>
        <w:t xml:space="preserve"> </w:t>
      </w:r>
      <w:r>
        <w:rPr>
          <w:i/>
          <w:iCs/>
        </w:rPr>
        <w:t xml:space="preserve">BMJ</w:t>
      </w:r>
      <w:r>
        <w:t xml:space="preserve"> </w:t>
      </w:r>
      <w:r>
        <w:t xml:space="preserve">2019;366:l4898. doi:</w:t>
      </w:r>
      <w:hyperlink r:id="rId39">
        <w:r>
          <w:rPr>
            <w:rStyle w:val="Hyperlink"/>
          </w:rPr>
          <w:t xml:space="preserve">10.1136/bmj.l4898</w:t>
        </w:r>
      </w:hyperlink>
      <w:r>
        <w:t xml:space="preserve">.</w:t>
      </w:r>
    </w:p>
    <w:p>
      <w:pPr>
        <w:numPr>
          <w:ilvl w:val="0"/>
          <w:numId w:val="1001"/>
        </w:numPr>
      </w:pPr>
      <w:r>
        <w:t xml:space="preserve">Minozzi S, Cinquini M, Gianola S, et al. The revised Cochrane risk of bias tool for randomized trials (RoB 2) showed low interrater reliability and challenges in its application.</w:t>
      </w:r>
      <w:r>
        <w:t xml:space="preserve"> </w:t>
      </w:r>
      <w:r>
        <w:rPr>
          <w:i/>
          <w:iCs/>
        </w:rPr>
        <w:t xml:space="preserve">J Clin Epidemiol</w:t>
      </w:r>
      <w:r>
        <w:t xml:space="preserve"> </w:t>
      </w:r>
      <w:r>
        <w:t xml:space="preserve">2020;126:37–44. doi:</w:t>
      </w:r>
      <w:hyperlink r:id="rId40">
        <w:r>
          <w:rPr>
            <w:rStyle w:val="Hyperlink"/>
          </w:rPr>
          <w:t xml:space="preserve">10.1016/j.jclinepi.2020.06.015</w:t>
        </w:r>
      </w:hyperlink>
      <w:r>
        <w:t xml:space="preserve">.</w:t>
      </w:r>
    </w:p>
    <w:p>
      <w:pPr>
        <w:numPr>
          <w:ilvl w:val="0"/>
          <w:numId w:val="1001"/>
        </w:numPr>
      </w:pPr>
      <w:r>
        <w:t xml:space="preserve">Minozzi S, Dwan K, Borrelli F, et al. Reliability of the revised Cochrane risk-of-bias tool for randomised trials (RoB2) improved with the use of implementation instruction.</w:t>
      </w:r>
      <w:r>
        <w:t xml:space="preserve"> </w:t>
      </w:r>
      <w:r>
        <w:rPr>
          <w:i/>
          <w:iCs/>
        </w:rPr>
        <w:t xml:space="preserve">J Clin Epidemiol</w:t>
      </w:r>
      <w:r>
        <w:t xml:space="preserve"> </w:t>
      </w:r>
      <w:r>
        <w:t xml:space="preserve">2022;141:99–105. doi:</w:t>
      </w:r>
      <w:hyperlink r:id="rId41">
        <w:r>
          <w:rPr>
            <w:rStyle w:val="Hyperlink"/>
          </w:rPr>
          <w:t xml:space="preserve">10.1016/j.jclinepi.2021.09.021</w:t>
        </w:r>
      </w:hyperlink>
      <w:r>
        <w:t xml:space="preserve">.</w:t>
      </w:r>
    </w:p>
    <w:p>
      <w:pPr>
        <w:numPr>
          <w:ilvl w:val="0"/>
          <w:numId w:val="1001"/>
        </w:numPr>
      </w:pPr>
      <w:r>
        <w:t xml:space="preserve">Bertizzolo L, Bossuyt P, Atal I, et al. Disagreements in risk of bias assessment for randomised controlled trials included in more than one Cochrane systematic reviews: a research on research study using cross-sectional design.</w:t>
      </w:r>
      <w:r>
        <w:t xml:space="preserve"> </w:t>
      </w:r>
      <w:r>
        <w:rPr>
          <w:i/>
          <w:iCs/>
        </w:rPr>
        <w:t xml:space="preserve">BMJ Open</w:t>
      </w:r>
      <w:r>
        <w:t xml:space="preserve"> </w:t>
      </w:r>
      <w:r>
        <w:t xml:space="preserve">2019;9:e028382. doi:</w:t>
      </w:r>
      <w:hyperlink r:id="rId42">
        <w:r>
          <w:rPr>
            <w:rStyle w:val="Hyperlink"/>
          </w:rPr>
          <w:t xml:space="preserve">10.1136/bmjopen-2018-028382</w:t>
        </w:r>
      </w:hyperlink>
      <w:r>
        <w:t xml:space="preserve">.</w:t>
      </w:r>
    </w:p>
    <w:p>
      <w:pPr>
        <w:numPr>
          <w:ilvl w:val="0"/>
          <w:numId w:val="1001"/>
        </w:numPr>
      </w:pPr>
      <w:r>
        <w:t xml:space="preserve">Marshall IJ, Kuiper J, Wallace BC. RobotReviewer: evaluation of a system for automatically assessing bias in clinical trials.</w:t>
      </w:r>
      <w:r>
        <w:t xml:space="preserve"> </w:t>
      </w:r>
      <w:r>
        <w:rPr>
          <w:i/>
          <w:iCs/>
        </w:rPr>
        <w:t xml:space="preserve">J Am Med Inform Assoc</w:t>
      </w:r>
      <w:r>
        <w:t xml:space="preserve"> </w:t>
      </w:r>
      <w:r>
        <w:t xml:space="preserve">2016;23:193–201. doi:</w:t>
      </w:r>
      <w:hyperlink r:id="rId43">
        <w:r>
          <w:rPr>
            <w:rStyle w:val="Hyperlink"/>
          </w:rPr>
          <w:t xml:space="preserve">10.1093/jamia/ocv044</w:t>
        </w:r>
      </w:hyperlink>
      <w:r>
        <w:t xml:space="preserve">.</w:t>
      </w:r>
    </w:p>
    <w:p>
      <w:pPr>
        <w:numPr>
          <w:ilvl w:val="0"/>
          <w:numId w:val="1001"/>
        </w:numPr>
      </w:pPr>
      <w:r>
        <w:t xml:space="preserve">Hevia A, Chintalapati S, Lai VKW, et al. ROBOTO2: An Interactive System and Dataset for LLM-assisted Clinical Trial Risk of Bias Assessment. In:</w:t>
      </w:r>
      <w:r>
        <w:t xml:space="preserve"> </w:t>
      </w:r>
      <w:r>
        <w:rPr>
          <w:i/>
          <w:iCs/>
        </w:rPr>
        <w:t xml:space="preserve">Proceedings of the 2025 Conference on Empirical Methods in Natural Language Processing: System Demonstrations</w:t>
      </w:r>
      <w:r>
        <w:t xml:space="preserve">. Association for Computational Linguistics, 2025:12–25. doi:</w:t>
      </w:r>
      <w:hyperlink r:id="rId44">
        <w:r>
          <w:rPr>
            <w:rStyle w:val="Hyperlink"/>
          </w:rPr>
          <w:t xml:space="preserve">10.18653/v1/2025.emnlp-demos.2</w:t>
        </w:r>
      </w:hyperlink>
      <w:r>
        <w:t xml:space="preserve">.</w:t>
      </w:r>
    </w:p>
    <w:p>
      <w:pPr>
        <w:numPr>
          <w:ilvl w:val="0"/>
          <w:numId w:val="1001"/>
        </w:numPr>
      </w:pPr>
      <w:r>
        <w:t xml:space="preserve">Ji C, Zhao B, Wang Z, et al. RoBGuard: Enhancing LLMs to Assess Risk of Bias in Clinical Trial Documents. In:</w:t>
      </w:r>
      <w:r>
        <w:t xml:space="preserve"> </w:t>
      </w:r>
      <w:r>
        <w:rPr>
          <w:i/>
          <w:iCs/>
        </w:rPr>
        <w:t xml:space="preserve">Proceedings of the 31st International Conference on Computational Linguistics</w:t>
      </w:r>
      <w:r>
        <w:t xml:space="preserve">. Association for Computational Linguistics, 2025:1258–77. Available at:</w:t>
      </w:r>
      <w:r>
        <w:t xml:space="preserve"> </w:t>
      </w:r>
      <w:hyperlink r:id="rId45">
        <w:r>
          <w:rPr>
            <w:rStyle w:val="Hyperlink"/>
          </w:rPr>
          <w:t xml:space="preserve">ACL Anthology</w:t>
        </w:r>
      </w:hyperlink>
      <w:r>
        <w:t xml:space="preserve">.</w:t>
      </w:r>
    </w:p>
    <w:p>
      <w:pPr>
        <w:numPr>
          <w:ilvl w:val="0"/>
          <w:numId w:val="1001"/>
        </w:numPr>
      </w:pPr>
      <w:r>
        <w:t xml:space="preserve">Gandhi S, Shokravi A, Chelliahpillai Y, et al. Evaluating large language model performance in Risk of Bias assessments: A cross-sectional validation study.</w:t>
      </w:r>
      <w:r>
        <w:t xml:space="preserve"> </w:t>
      </w:r>
      <w:r>
        <w:rPr>
          <w:i/>
          <w:iCs/>
        </w:rPr>
        <w:t xml:space="preserve">PLoS One</w:t>
      </w:r>
      <w:r>
        <w:t xml:space="preserve"> </w:t>
      </w:r>
      <w:r>
        <w:t xml:space="preserve">2026;21:e0353155. doi:</w:t>
      </w:r>
      <w:hyperlink r:id="rId46">
        <w:r>
          <w:rPr>
            <w:rStyle w:val="Hyperlink"/>
          </w:rPr>
          <w:t xml:space="preserve">10.1371/journal.pone.0353155</w:t>
        </w:r>
      </w:hyperlink>
      <w:r>
        <w:t xml:space="preserve">.</w:t>
      </w:r>
    </w:p>
    <w:p>
      <w:pPr>
        <w:numPr>
          <w:ilvl w:val="0"/>
          <w:numId w:val="1001"/>
        </w:numPr>
      </w:pPr>
      <w:r>
        <w:t xml:space="preserve">Huang J, Lai H, Zhao W, et al. Large Language Model–Assisted Risk-of-Bias Assessment in Randomized Controlled Trials Using the Revised Risk-of-Bias Tool: Evaluation Study.</w:t>
      </w:r>
      <w:r>
        <w:t xml:space="preserve"> </w:t>
      </w:r>
      <w:r>
        <w:rPr>
          <w:i/>
          <w:iCs/>
        </w:rPr>
        <w:t xml:space="preserve">J Med Internet Res</w:t>
      </w:r>
      <w:r>
        <w:t xml:space="preserve"> </w:t>
      </w:r>
      <w:r>
        <w:t xml:space="preserve">2025;27:e70450. doi:</w:t>
      </w:r>
      <w:hyperlink r:id="rId47">
        <w:r>
          <w:rPr>
            <w:rStyle w:val="Hyperlink"/>
          </w:rPr>
          <w:t xml:space="preserve">10.2196/70450</w:t>
        </w:r>
      </w:hyperlink>
      <w:r>
        <w:t xml:space="preserve">.</w:t>
      </w:r>
    </w:p>
    <w:p>
      <w:pPr>
        <w:numPr>
          <w:ilvl w:val="0"/>
          <w:numId w:val="1001"/>
        </w:numPr>
      </w:pPr>
      <w:r>
        <w:t xml:space="preserve">Xiong YT, Wang YC, Sun YN, et al. Impact of prompt engineering on large language models for risk of bias assessment: a comparative study.</w:t>
      </w:r>
      <w:r>
        <w:t xml:space="preserve"> </w:t>
      </w:r>
      <w:r>
        <w:rPr>
          <w:i/>
          <w:iCs/>
        </w:rPr>
        <w:t xml:space="preserve">BMJ Evid Based Med</w:t>
      </w:r>
      <w:r>
        <w:t xml:space="preserve"> </w:t>
      </w:r>
      <w:r>
        <w:t xml:space="preserve">2026;31:332–41. doi:</w:t>
      </w:r>
      <w:hyperlink r:id="rId48">
        <w:r>
          <w:rPr>
            <w:rStyle w:val="Hyperlink"/>
          </w:rPr>
          <w:t xml:space="preserve">10.1136/bmjebm-2025-114055</w:t>
        </w:r>
      </w:hyperlink>
      <w:r>
        <w:t xml:space="preserve">.</w:t>
      </w:r>
    </w:p>
    <w:p>
      <w:pPr>
        <w:numPr>
          <w:ilvl w:val="0"/>
          <w:numId w:val="1001"/>
        </w:numPr>
      </w:pPr>
      <w:r>
        <w:t xml:space="preserve">Taneri PE. Human Versus Artificial Intelligence: Comparing Cochrane Authors’ and ChatGPT’s Risk of Bias Assessments.</w:t>
      </w:r>
      <w:r>
        <w:t xml:space="preserve"> </w:t>
      </w:r>
      <w:r>
        <w:rPr>
          <w:i/>
          <w:iCs/>
        </w:rPr>
        <w:t xml:space="preserve">Cochrane Evidence Synthesis and Methods</w:t>
      </w:r>
      <w:r>
        <w:t xml:space="preserve"> </w:t>
      </w:r>
      <w:r>
        <w:t xml:space="preserve">2025;3:e70044. doi:</w:t>
      </w:r>
      <w:hyperlink r:id="rId49">
        <w:r>
          <w:rPr>
            <w:rStyle w:val="Hyperlink"/>
          </w:rPr>
          <w:t xml:space="preserve">10.1002/cesm.70044</w:t>
        </w:r>
      </w:hyperlink>
      <w:r>
        <w:t xml:space="preserve">.</w:t>
      </w:r>
    </w:p>
    <w:p>
      <w:pPr>
        <w:numPr>
          <w:ilvl w:val="0"/>
          <w:numId w:val="1001"/>
        </w:numPr>
      </w:pPr>
      <w:r>
        <w:t xml:space="preserve">Lai YJ, Lin SH, Liu JW. Evaluating the Accuracy of Large Language Models in Risk-of-Bias Assessment Using Version 2 of the Cochrane Risk-of-Bias Tool for Randomized Trials: Exploratory Feasibility Study.</w:t>
      </w:r>
      <w:r>
        <w:t xml:space="preserve"> </w:t>
      </w:r>
      <w:r>
        <w:rPr>
          <w:i/>
          <w:iCs/>
        </w:rPr>
        <w:t xml:space="preserve">J Med Internet Res</w:t>
      </w:r>
      <w:r>
        <w:t xml:space="preserve"> </w:t>
      </w:r>
      <w:r>
        <w:t xml:space="preserve">2026;28:e84915. doi:</w:t>
      </w:r>
      <w:hyperlink r:id="rId50">
        <w:r>
          <w:rPr>
            <w:rStyle w:val="Hyperlink"/>
          </w:rPr>
          <w:t xml:space="preserve">10.2196/84915</w:t>
        </w:r>
      </w:hyperlink>
      <w:r>
        <w:t xml:space="preserve">.</w:t>
      </w:r>
    </w:p>
    <w:p>
      <w:pPr>
        <w:numPr>
          <w:ilvl w:val="0"/>
          <w:numId w:val="1001"/>
        </w:numPr>
      </w:pPr>
      <w:r>
        <w:t xml:space="preserve">Gartlehner G, Kugley S, Crotty K, et al. Artificial Intelligence–Assisted Data Extraction With a Large Language Model: A Study Within Reviews.</w:t>
      </w:r>
      <w:r>
        <w:t xml:space="preserve"> </w:t>
      </w:r>
      <w:r>
        <w:rPr>
          <w:i/>
          <w:iCs/>
        </w:rPr>
        <w:t xml:space="preserve">Ann Intern Med</w:t>
      </w:r>
      <w:r>
        <w:t xml:space="preserve"> </w:t>
      </w:r>
      <w:r>
        <w:t xml:space="preserve">2025;178:1763–71. doi:</w:t>
      </w:r>
      <w:hyperlink r:id="rId51">
        <w:r>
          <w:rPr>
            <w:rStyle w:val="Hyperlink"/>
          </w:rPr>
          <w:t xml:space="preserve">10.7326/ANNALS-25-00739</w:t>
        </w:r>
      </w:hyperlink>
      <w:r>
        <w:t xml:space="preserve">.</w:t>
      </w:r>
    </w:p>
    <w:p>
      <w:pPr>
        <w:numPr>
          <w:ilvl w:val="0"/>
          <w:numId w:val="1001"/>
        </w:numPr>
      </w:pPr>
      <w:r>
        <w:t xml:space="preserve">Gallifant J, Afshar M, Ameen S, et al. The TRIPOD-LLM reporting guideline for studies using large language models.</w:t>
      </w:r>
      <w:r>
        <w:t xml:space="preserve"> </w:t>
      </w:r>
      <w:r>
        <w:rPr>
          <w:i/>
          <w:iCs/>
        </w:rPr>
        <w:t xml:space="preserve">Nat Med</w:t>
      </w:r>
      <w:r>
        <w:t xml:space="preserve"> </w:t>
      </w:r>
      <w:r>
        <w:t xml:space="preserve">2025;31:60–69. doi:</w:t>
      </w:r>
      <w:hyperlink r:id="rId52">
        <w:r>
          <w:rPr>
            <w:rStyle w:val="Hyperlink"/>
          </w:rPr>
          <w:t xml:space="preserve">10.1038/s41591-024-03425-5</w:t>
        </w:r>
      </w:hyperlink>
      <w:r>
        <w:t xml:space="preserve">.</w:t>
      </w:r>
    </w:p>
    <w:p>
      <w:pPr>
        <w:numPr>
          <w:ilvl w:val="0"/>
          <w:numId w:val="1001"/>
        </w:numPr>
      </w:pPr>
      <w:r>
        <w:t xml:space="preserve">Kottner J, Audigé L, Brorson S, et al. Guidelines for Reporting Reliability and Agreement Studies (GRRAS) were proposed.</w:t>
      </w:r>
      <w:r>
        <w:t xml:space="preserve"> </w:t>
      </w:r>
      <w:r>
        <w:rPr>
          <w:i/>
          <w:iCs/>
        </w:rPr>
        <w:t xml:space="preserve">J Clin Epidemiol</w:t>
      </w:r>
      <w:r>
        <w:t xml:space="preserve"> </w:t>
      </w:r>
      <w:r>
        <w:t xml:space="preserve">2011;64:96–106. doi:</w:t>
      </w:r>
      <w:hyperlink r:id="rId53">
        <w:r>
          <w:rPr>
            <w:rStyle w:val="Hyperlink"/>
          </w:rPr>
          <w:t xml:space="preserve">10.1016/j.jclinepi.2010.03.002</w:t>
        </w:r>
      </w:hyperlink>
      <w:r>
        <w:t xml:space="preserve">.</w:t>
      </w:r>
    </w:p>
    <w:p>
      <w:pPr>
        <w:numPr>
          <w:ilvl w:val="0"/>
          <w:numId w:val="1001"/>
        </w:numPr>
      </w:pPr>
      <w:r>
        <w:t xml:space="preserve">Nyrhi L, Ponkilainen V, Laaksonen J, et al. Large language models for risk-of-bias assessment in randomised clinical trials—a comparative validation study.</w:t>
      </w:r>
      <w:r>
        <w:t xml:space="preserve"> </w:t>
      </w:r>
      <w:r>
        <w:rPr>
          <w:i/>
          <w:iCs/>
        </w:rPr>
        <w:t xml:space="preserve">EBioMedicine</w:t>
      </w:r>
      <w:r>
        <w:t xml:space="preserve"> </w:t>
      </w:r>
      <w:r>
        <w:t xml:space="preserve">2026;126:106238. doi:</w:t>
      </w:r>
      <w:hyperlink r:id="rId54">
        <w:r>
          <w:rPr>
            <w:rStyle w:val="Hyperlink"/>
          </w:rPr>
          <w:t xml:space="preserve">10.1016/j.ebiom.2026.106238</w:t>
        </w:r>
      </w:hyperlink>
      <w:r>
        <w:t xml:space="preserve">.</w:t>
      </w:r>
    </w:p>
    <w:p>
      <w:pPr>
        <w:numPr>
          <w:ilvl w:val="0"/>
          <w:numId w:val="1001"/>
        </w:numPr>
      </w:pPr>
      <w:r>
        <w:t xml:space="preserve">Choi J, Swan H, Kim MJ, et al. Variability, algorithm conformance, and accuracy of large language model–based tools for risk-of-bias (RoB 2.0) assessment of randomized trials: a pilot study.</w:t>
      </w:r>
      <w:r>
        <w:t xml:space="preserve"> </w:t>
      </w:r>
      <w:r>
        <w:rPr>
          <w:i/>
          <w:iCs/>
        </w:rPr>
        <w:t xml:space="preserve">Journal of Evidence-Based Practice</w:t>
      </w:r>
      <w:r>
        <w:t xml:space="preserve"> </w:t>
      </w:r>
      <w:r>
        <w:t xml:space="preserve">2026;2:91–97. doi:</w:t>
      </w:r>
      <w:hyperlink r:id="rId55">
        <w:r>
          <w:rPr>
            <w:rStyle w:val="Hyperlink"/>
          </w:rPr>
          <w:t xml:space="preserve">10.63528/jebp.2026.00011</w:t>
        </w:r>
      </w:hyperlink>
      <w:r>
        <w:t xml:space="preserve">.</w:t>
      </w:r>
    </w:p>
    <w:p>
      <w:pPr>
        <w:numPr>
          <w:ilvl w:val="0"/>
          <w:numId w:val="1001"/>
        </w:numPr>
      </w:pPr>
      <w:r>
        <w:t xml:space="preserve">Huang J, Tang Z, Ling Q, Kuang Z, E H. Can LLMs Follow Medical Expert Logic? A Benchmark for Hierarchical Logical Consistency in Risk-of-Bias Assessment.</w:t>
      </w:r>
      <w:r>
        <w:t xml:space="preserve"> </w:t>
      </w:r>
      <w:r>
        <w:rPr>
          <w:i/>
          <w:iCs/>
        </w:rPr>
        <w:t xml:space="preserve">arXiv</w:t>
      </w:r>
      <w:r>
        <w:t xml:space="preserve"> </w:t>
      </w:r>
      <w:r>
        <w:t xml:space="preserve">report, version 1, 10 September 2026.</w:t>
      </w:r>
      <w:r>
        <w:t xml:space="preserve"> </w:t>
      </w:r>
      <w:hyperlink r:id="rId56">
        <w:r>
          <w:rPr>
            <w:rStyle w:val="Hyperlink"/>
          </w:rPr>
          <w:t xml:space="preserve">arXiv:2609.11185v1</w:t>
        </w:r>
      </w:hyperlink>
      <w:r>
        <w:t xml:space="preserve">. Accepted to EMNLP 2026 Main Conference.</w:t>
      </w:r>
    </w:p>
    <w:p>
      <w:pPr>
        <w:numPr>
          <w:ilvl w:val="0"/>
          <w:numId w:val="1001"/>
        </w:numPr>
      </w:pPr>
      <w:r>
        <w:t xml:space="preserve">Liang Z, Sheffield C, Butera G, Antani S. Retrieve-Then-Verify for Evaluating Evidence Support and Hallucination in Large Language Model–Generated Medical Information: Empirical Study.</w:t>
      </w:r>
      <w:r>
        <w:t xml:space="preserve"> </w:t>
      </w:r>
      <w:r>
        <w:rPr>
          <w:i/>
          <w:iCs/>
        </w:rPr>
        <w:t xml:space="preserve">JMIR AI</w:t>
      </w:r>
      <w:r>
        <w:t xml:space="preserve"> </w:t>
      </w:r>
      <w:r>
        <w:t xml:space="preserve">2026;5:e93761. doi:</w:t>
      </w:r>
      <w:hyperlink r:id="rId57">
        <w:r>
          <w:rPr>
            <w:rStyle w:val="Hyperlink"/>
          </w:rPr>
          <w:t xml:space="preserve">10.2196/93761</w:t>
        </w:r>
      </w:hyperlink>
      <w:r>
        <w:t xml:space="preserve">.</w:t>
      </w:r>
    </w:p>
    <w:p>
      <w:pPr>
        <w:numPr>
          <w:ilvl w:val="0"/>
          <w:numId w:val="1001"/>
        </w:numPr>
      </w:pPr>
      <w:r>
        <w:t xml:space="preserve">Joseph J, Vishwanath R, Sisirkumar JV. RoB2-Evaluator: Development and Technical Evaluation of a Rule-Constrained Large Language Model System for Cochrane Risk of Bias 2 Assessment.</w:t>
      </w:r>
      <w:r>
        <w:t xml:space="preserve"> </w:t>
      </w:r>
      <w:r>
        <w:rPr>
          <w:i/>
          <w:iCs/>
        </w:rPr>
        <w:t xml:space="preserve">medRxiv</w:t>
      </w:r>
      <w:r>
        <w:t xml:space="preserve"> </w:t>
      </w:r>
      <w:r>
        <w:t xml:space="preserve">[Preprint]. Posted 23 September 2026. doi:</w:t>
      </w:r>
      <w:hyperlink r:id="rId58">
        <w:r>
          <w:rPr>
            <w:rStyle w:val="Hyperlink"/>
          </w:rPr>
          <w:t xml:space="preserve">10.64898/2026.09.22.26363693</w:t>
        </w:r>
      </w:hyperlink>
      <w:r>
        <w:t xml:space="preserve">.</w:t>
      </w:r>
    </w:p>
    <w:p>
      <w:pPr>
        <w:numPr>
          <w:ilvl w:val="0"/>
          <w:numId w:val="1001"/>
        </w:numPr>
      </w:pPr>
      <w:r>
        <w:t xml:space="preserve">Soboczenski F, Trikalinos TA, Kuiper J, et al. Machine learning to help researchers evaluate biases in clinical trials: a prospective, randomized user study.</w:t>
      </w:r>
      <w:r>
        <w:t xml:space="preserve"> </w:t>
      </w:r>
      <w:r>
        <w:rPr>
          <w:i/>
          <w:iCs/>
        </w:rPr>
        <w:t xml:space="preserve">BMC Med Inform Decis Mak</w:t>
      </w:r>
      <w:r>
        <w:t xml:space="preserve"> </w:t>
      </w:r>
      <w:r>
        <w:t xml:space="preserve">2019;19:96. doi:</w:t>
      </w:r>
      <w:hyperlink r:id="rId59">
        <w:r>
          <w:rPr>
            <w:rStyle w:val="Hyperlink"/>
          </w:rPr>
          <w:t xml:space="preserve">10.1186/s12911-019-0814-z</w:t>
        </w:r>
      </w:hyperlink>
      <w:r>
        <w:t xml:space="preserve">.</w:t>
      </w:r>
    </w:p>
    <w:p>
      <w:pPr>
        <w:numPr>
          <w:ilvl w:val="0"/>
          <w:numId w:val="1001"/>
        </w:numPr>
      </w:pPr>
      <w:r>
        <w:t xml:space="preserve">Jardim PSJ, Rose CJ, Ames HM, et al. Automating risk of bias assessment in systematic reviews: a real-time mixed methods comparison of human researchers to a machine learning system.</w:t>
      </w:r>
      <w:r>
        <w:t xml:space="preserve"> </w:t>
      </w:r>
      <w:r>
        <w:rPr>
          <w:i/>
          <w:iCs/>
        </w:rPr>
        <w:t xml:space="preserve">BMC Med Res Methodol</w:t>
      </w:r>
      <w:r>
        <w:t xml:space="preserve"> </w:t>
      </w:r>
      <w:r>
        <w:t xml:space="preserve">2022;22:167. doi:</w:t>
      </w:r>
      <w:hyperlink r:id="rId60">
        <w:r>
          <w:rPr>
            <w:rStyle w:val="Hyperlink"/>
          </w:rPr>
          <w:t xml:space="preserve">10.1186/s12874-022-01649-y</w:t>
        </w:r>
      </w:hyperlink>
      <w:r>
        <w:t xml:space="preserve">.</w:t>
      </w:r>
    </w:p>
    <w:bookmarkEnd w:id="61"/>
    <w:bookmarkEnd w:id="62"/>
    <w:p>
      <w:bookmarkStart w:id="164" w:name="loc_101"/>
      <w:pPr>
        <w:pStyle w:val="Heading1"/>
        <w:pageBreakBefore/>
      </w:pPr>
      <w:r>
        <w:t>FIGURE LEGENDS</w:t>
      </w:r>
      <w:bookmarkEnd w:id="164"/>
    </w:p>
    <w:p>
      <w:pPr>
        <w:keepNext/>
        <w:keepLines/>
        <w:pageBreakBefore w:val="0"/>
      </w:pPr>
      <w:r>
        <w:t>Figure 1. ARBITER splits the work: an AI model reads and answers; rule-based software checks quotes, applies RoB 2 rules and records everything. Lanes show the reviewer, AI model, ARBITER server and audit file across capture, approval, domain assessment and export. Plain labels show actions; gray text names the underlying tool calls. The reviewer receives the HTML report and audit file, both checkable by an independent verifier. RoB 2 is the Cochrane risk-of-bias tool for randomised trials.</w:t>
      </w:r>
    </w:p>
    <w:p>
      <w:pPr>
        <w:keepLines/>
      </w:pPr>
      <w:r>
        <w:t>Alt text: The reviewer chooses a trial and outcome and approves the result to assess. The AI model reads reports, selects evidence and answers questions. ARBITER stores source records, checks quotes and applies the RoB 2 rules. The reviewer receives an HTML assessment report and an audit file containing sources, quotes, answers and decisions; both can be checked by an independent verifier.</w:t>
      </w:r>
    </w:p>
    <w:p>
      <w:pPr>
        <w:keepNext/>
        <w:keepLines/>
        <w:pageBreakBefore/>
      </w:pPr>
      <w:r>
        <w:t>Figure 2. Each answer is tied to stored sources, and RoB 2 rules compute the rating across every domain. AVATAR compares early surgery with watchful waiting in asymptomatic severe aortic stenosis; the outcome is all-cause death. This trial was chosen to illustrate the process, not as representative. Rows link paraphrased questions, source excerpts, AI answers, software checks and domain ratings. Letter/page tabs identify sources; “Weighed against” and “Open point” give counter-evidence and unknowns. A missing dated analysis plan leads to Some concerns overall. Full answers and official question wording appear in the AVATAR complete trace in the supplement. Y, yes; PY, probably yes; PN, probably no; N, no; NI, no information.</w:t>
      </w:r>
    </w:p>
    <w:p>
      <w:pPr>
        <w:keepLines/>
      </w:pPr>
      <w:r>
        <w:t>Alt text: AVATAR's five risk-of-bias domains connect source excerpts to the AI model's answers and the ratings computed by ARBITER. Four domains are Low. For selection of the reported result, the stored sources do not establish a dated plan for this analysis. The model answers No information, and the RoB 2 rules yield Some concerns for that domain and overall. Counter-evidence and unresolved questions remain visible alongside the answers.</w:t>
      </w:r>
    </w:p>
    <w:p>
      <w:pPr>
        <w:keepNext/>
        <w:keepLines/>
        <w:pageBreakBefore/>
      </w:pPr>
      <w:r>
        <w:t>Figure 3. Paired evaluation and conditional primary endpoint. Both arms assessed the same 102 trials using the same Sonnet model and supplied documents. Two experts independently recorded ratings and signalling answers for all 510 trial-domain cells before viewing labels. In a separate stage, each chose among three labels presented in random order without rationales. The primary endpoint uses 60 agreed choices from 80 arm-discordant cells; 20 split choices enter sensitivities. The all-cell expert comparisons are not restricted to that conditional population. Counts are trials or cells as indicated; no interval applies.</w:t>
      </w:r>
    </w:p>
    <w:p>
      <w:pPr>
        <w:keepLines/>
      </w:pPr>
      <w:r>
        <w:t>Alt text: Paired evaluation of 102 trials and 510 cells against two independent experts. A separate conditional branch contains 80 arm-discordant cells, 60 agreed choices and 20 splits.</w:t>
      </w:r>
    </w:p>
    <w:p>
      <w:pPr>
        <w:keepNext/>
        <w:keepLines/>
        <w:pageBreakBefore/>
      </w:pPr>
      <w:r>
        <w:t>Figure 4. Absolute and paired domain agreement with each independent expert. Blue circles denote ARBITER and orange squares Unassisted. Left panels show exact agreement with 95% intervals on a 0–100% scale; right panels show paired ARBITER minus Unassisted differences in percentage points, with neutral diamonds and zero lines. Each expert contributes 510 pooled cells and 102 per domain. Expert-to-expert agreement is 388/510 (76.1%; weighted κ 0.59), context rather than a performance ceiling. The compact Published comparison retains all 510 cells. D1: randomisation process; D2: deviations from intended interventions; D3: missing outcome data; D4: outcome measurement; D5: selection of the reported result. Overall is supplementary. CI, 95% confidence interval; 10,000 percentile bootstrap replicates, trials resampled within meta-analysis; seed 20261018.</w:t>
      </w:r>
    </w:p>
    <w:p>
      <w:pPr>
        <w:keepLines/>
      </w:pPr>
      <w:r>
        <w:t>Alt text: Exact agreement and paired gains against each expert, pooled and by domain. Both pooled gains favor ARBITER; D5 gains are largest and D3 depends strongly on the expert reference. The full-cohort Published comparison is shown separately.</w:t>
      </w:r>
    </w:p>
    <w:p>
      <w:pPr>
        <w:keepNext/>
        <w:keepLines/>
        <w:pageBreakBefore/>
      </w:pPr>
      <w:r>
        <w:t>Figure 5. Paired signalling-answer diagnostics. Rows cover all five domains against each expert; n is the number of question components evaluable in both arms. Diamonds and bars show ARBITER minus Unassisted exact agreement and 95% intervals. Five-level matching distinguishes yes, probably yes, no, probably no and no information. Collapsed matching combines yes/probably yes and no/probably no, leaving no information separate. These are different estimands. D1: randomisation process; D2: deviations from intended interventions; D3: missing outcome data; D4: outcome measurement; D5: selection of the reported result. D3 and D5 illustrate reference dependence and the effect of coding; the complete question-level results, including sparse and unfavorable comparisons, are in eFigures 2 and 5. Source-specific absolute rates appear separately in eFigure 4. CI, 95% confidence interval; 10,000 percentile bootstrap replicates, trials resampled within meta-analysis; seed 20261018.</w:t>
      </w:r>
    </w:p>
    <w:p>
      <w:pPr>
        <w:keepLines/>
      </w:pPr>
      <w:r>
        <w:t>Alt text: Paired signalling-answer differences by domain and expert, separating five-level and collapsed coding. D3 changes direction with coding against Expert 1; D5 collapsed gains are smaller against Expert 2.</w:t>
      </w:r>
    </w:p>
    <w:sectPr>
      <w:footerReference w:type="default" r:id="rId9"/>
      <w:footnotePr>
        <w:numRestart w:val="eachSect"/>
      </w:footnotePr>
      <w:pgMar w:top="1080" w:bottom="1080"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Arial" w:hAnsi="Arial"/>
      <w:color w:val="000000"/>
      <w:sz w:val="22"/>
    </w:rPr>
  </w:style>
  <w:style w:styleId="BodyText" w:type="paragraph">
    <w:name w:val="Body Text"/>
    <w:basedOn w:val="Normal"/>
    <w:link w:val="BodyTextChar"/>
    <w:qFormat/>
    <w:pPr>
      <w:spacing w:after="0" w:before="180" w:line="480" w:lineRule="auto"/>
    </w:pPr>
    <w:rPr>
      <w:rFonts w:ascii="Arial" w:hAnsi="Arial"/>
      <w:color w:val="000000"/>
      <w:sz w:val="22"/>
    </w:rPr>
  </w:style>
  <w:style w:customStyle="1" w:styleId="FirstParagraph" w:type="paragraph">
    <w:name w:val="First Paragraph"/>
    <w:basedOn w:val="BodyText"/>
    <w:next w:val="BodyText"/>
    <w:qFormat/>
    <w:pPr>
      <w:spacing w:line="480" w:lineRule="auto" w:after="0"/>
    </w:pPr>
    <w:rPr>
      <w:rFonts w:ascii="Arial" w:hAnsi="Arial"/>
      <w:color w:val="000000"/>
      <w:sz w:val="22"/>
    </w:rPr>
  </w:style>
  <w:style w:customStyle="1" w:styleId="Compact" w:type="paragraph">
    <w:name w:val="Compact"/>
    <w:basedOn w:val="BodyText"/>
    <w:qFormat/>
    <w:pPr>
      <w:spacing w:after="0" w:before="36" w:line="480" w:lineRule="auto"/>
    </w:pPr>
    <w:rPr>
      <w:rFonts w:ascii="Arial" w:hAnsi="Arial"/>
      <w:color w:val="000000"/>
      <w:sz w:val="22"/>
    </w:rPr>
  </w:style>
  <w:style w:styleId="Title" w:type="paragraph">
    <w:name w:val="Title"/>
    <w:basedOn w:val="Normal"/>
    <w:next w:val="BodyText"/>
    <w:link w:val="TitleChar"/>
    <w:uiPriority w:val="10"/>
    <w:qFormat/>
    <w:rsid w:val="00A10FD9"/>
    <w:pPr>
      <w:spacing w:after="0" w:line="480" w:lineRule="auto"/>
      <w:contextualSpacing/>
      <w:jc w:val="center"/>
    </w:pPr>
    <w:rPr>
      <w:rFonts w:cstheme="majorBidi" w:ascii="Arial" w:hAnsi="Arial"/>
      <w:color w:val="000000"/>
      <w:sz w:val="2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after="0"/>
    </w:pPr>
    <w:rPr>
      <w:rFonts w:cstheme="majorBidi" w:ascii="Arial" w:hAnsi="Arial"/>
      <w:color w:val="000000"/>
      <w:spacing w:val="15"/>
      <w:sz w:val="2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after="0"/>
    </w:pPr>
    <w:rPr>
      <w:rFonts w:ascii="Arial" w:hAnsi="Arial"/>
      <w:color w:val="000000"/>
      <w:sz w:val="22"/>
      <w:szCs w:val="24"/>
    </w:rPr>
  </w:style>
  <w:style w:styleId="Date" w:type="paragraph">
    <w:name w:val="Date"/>
    <w:basedOn w:val="Title"/>
    <w:next w:val="BodyText"/>
    <w:qFormat/>
    <w:pPr>
      <w:keepNext/>
      <w:keepLines/>
      <w:spacing w:line="480" w:lineRule="auto" w:after="0"/>
    </w:pPr>
    <w:rPr>
      <w:rFonts w:ascii="Arial" w:hAnsi="Arial"/>
      <w:color w:val="000000"/>
      <w:sz w:val="22"/>
      <w:szCs w:val="24"/>
    </w:rPr>
  </w:style>
  <w:style w:customStyle="1" w:styleId="AbstractTitle" w:type="paragraph">
    <w:name w:val="Abstract Title"/>
    <w:basedOn w:val="Normal"/>
    <w:next w:val="Abstract"/>
    <w:qFormat/>
    <w:pPr>
      <w:keepNext/>
      <w:keepLines/>
      <w:spacing w:after="0" w:before="300" w:line="480" w:lineRule="auto"/>
      <w:jc w:val="center"/>
    </w:pPr>
    <w:rPr>
      <w:rFonts w:ascii="Arial" w:hAnsi="Arial"/>
      <w:b/>
      <w:color w:val="000000"/>
      <w:sz w:val="22"/>
      <w:szCs w:val="20"/>
    </w:rPr>
  </w:style>
  <w:style w:customStyle="1" w:styleId="Abstract" w:type="paragraph">
    <w:name w:val="Abstract"/>
    <w:basedOn w:val="Normal"/>
    <w:next w:val="BodyText"/>
    <w:qFormat/>
    <w:pPr>
      <w:keepNext/>
      <w:keepLines/>
      <w:spacing w:after="0" w:before="100" w:line="480" w:lineRule="auto"/>
    </w:pPr>
    <w:rPr>
      <w:rFonts w:ascii="Arial" w:hAnsi="Arial"/>
      <w:color w:val="000000"/>
      <w:sz w:val="22"/>
      <w:szCs w:val="20"/>
    </w:rPr>
  </w:style>
  <w:style w:styleId="Bibliography" w:type="paragraph">
    <w:name w:val="Bibliography"/>
    <w:basedOn w:val="Normal"/>
    <w:next w:val="Bibliography"/>
    <w:qFormat/>
    <w:pPr>
      <w:spacing w:line="480" w:lineRule="auto" w:after="0"/>
    </w:pPr>
    <w:rPr>
      <w:rFonts w:ascii="Arial" w:hAnsi="Arial"/>
      <w:color w:val="000000"/>
      <w:sz w:val="22"/>
    </w:rPr>
  </w:style>
  <w:style w:styleId="Heading1" w:type="paragraph">
    <w:name w:val="heading 1"/>
    <w:basedOn w:val="Normal"/>
    <w:next w:val="BodyText"/>
    <w:link w:val="Heading1Char"/>
    <w:uiPriority w:val="9"/>
    <w:qFormat/>
    <w:rsid w:val="00A10FD9"/>
    <w:pPr>
      <w:keepNext/>
      <w:keepLines/>
      <w:spacing w:after="0" w:before="360" w:line="480" w:lineRule="auto"/>
      <w:outlineLvl w:val="0"/>
    </w:pPr>
    <w:rPr>
      <w:rFonts w:cstheme="majorBidi" w:ascii="Arial" w:hAnsi="Arial"/>
      <w:b/>
      <w:color w:val="000000"/>
      <w:sz w:val="22"/>
      <w:szCs w:val="40"/>
    </w:rPr>
  </w:style>
  <w:style w:styleId="Heading2" w:type="paragraph">
    <w:name w:val="heading 2"/>
    <w:basedOn w:val="Normal"/>
    <w:next w:val="BodyText"/>
    <w:link w:val="Heading2Char"/>
    <w:uiPriority w:val="9"/>
    <w:semiHidden/>
    <w:unhideWhenUsed/>
    <w:qFormat/>
    <w:rsid w:val="00A10FD9"/>
    <w:pPr>
      <w:keepNext/>
      <w:keepLines/>
      <w:spacing w:after="0" w:before="160" w:line="480" w:lineRule="auto"/>
      <w:outlineLvl w:val="1"/>
    </w:pPr>
    <w:rPr>
      <w:rFonts w:cstheme="majorBidi" w:ascii="Arial" w:hAnsi="Arial"/>
      <w:b/>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0" w:before="160" w:line="480" w:lineRule="auto"/>
      <w:outlineLvl w:val="2"/>
    </w:pPr>
    <w:rPr>
      <w:rFonts w:cstheme="majorBidi" w:ascii="Arial" w:hAnsi="Arial"/>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0" w:before="80" w:line="480" w:lineRule="auto"/>
      <w:outlineLvl w:val="3"/>
    </w:pPr>
    <w:rPr>
      <w:rFonts w:cstheme="majorBidi" w:ascii="Arial" w:hAnsi="Arial"/>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0" w:before="80" w:line="480" w:lineRule="auto"/>
      <w:outlineLvl w:val="4"/>
    </w:pPr>
    <w:rPr>
      <w:rFonts w:cstheme="majorBidi" w:ascii="Arial" w:hAnsi="Arial"/>
      <w:color w:val="000000"/>
      <w:sz w:val="22"/>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cstheme="majorBidi" w:ascii="Arial" w:hAnsi="Arial"/>
      <w:i/>
      <w:iCs/>
      <w:color w:val="000000"/>
      <w:sz w:val="22"/>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cstheme="majorBidi" w:ascii="Arial" w:hAnsi="Arial"/>
      <w:color w:val="000000"/>
      <w:sz w:val="22"/>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cstheme="majorBidi" w:ascii="Arial" w:hAnsi="Arial"/>
      <w:i/>
      <w:iCs/>
      <w:color w:val="000000"/>
      <w:sz w:val="22"/>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cstheme="majorBidi" w:ascii="Arial" w:hAnsi="Arial"/>
      <w:color w:val="000000"/>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100" w:line="480" w:lineRule="auto"/>
      <w:ind w:firstLine="0" w:left="480" w:right="480"/>
    </w:pPr>
    <w:rPr>
      <w:rFonts w:ascii="Arial" w:hAnsi="Arial"/>
      <w:color w:val="000000"/>
      <w:sz w:val="22"/>
    </w:rPr>
  </w:style>
  <w:style w:styleId="FootnoteText" w:type="paragraph">
    <w:name w:val="Footnote Text"/>
    <w:basedOn w:val="Normal"/>
    <w:next w:val="FootnoteText"/>
    <w:uiPriority w:val="9"/>
    <w:unhideWhenUsed/>
    <w:qFormat/>
    <w:pPr>
      <w:spacing w:line="480" w:lineRule="auto" w:after="0"/>
    </w:pPr>
    <w:rPr>
      <w:rFonts w:ascii="Arial" w:hAnsi="Arial"/>
      <w:color w:val="000000"/>
      <w:sz w:val="22"/>
    </w:rPr>
  </w:style>
  <w:style w:styleId="FootnoteBlockText" w:type="paragraph">
    <w:name w:val="Footnote Block Text"/>
    <w:basedOn w:val="FootnoteText"/>
    <w:next w:val="FootnoteText"/>
    <w:uiPriority w:val="9"/>
    <w:unhideWhenUsed/>
    <w:qFormat/>
    <w:pPr>
      <w:spacing w:after="0" w:before="100" w:line="480" w:lineRule="auto"/>
      <w:ind w:firstLine="0" w:left="480" w:right="480"/>
    </w:pPr>
    <w:rPr>
      <w:rFonts w:ascii="Arial" w:hAnsi="Arial"/>
      <w:color w:val="000000"/>
      <w:sz w:val="22"/>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rFonts w:ascii="Arial" w:hAnsi="Arial"/>
      <w:b/>
      <w:color w:val="000000"/>
      <w:sz w:val="22"/>
    </w:rPr>
  </w:style>
  <w:style w:customStyle="1" w:styleId="Definition" w:type="paragraph">
    <w:name w:val="Definition"/>
    <w:basedOn w:val="Normal"/>
    <w:pPr>
      <w:spacing w:line="480" w:lineRule="auto" w:after="0"/>
    </w:pPr>
    <w:rPr>
      <w:rFonts w:ascii="Arial" w:hAnsi="Arial"/>
      <w:color w:val="000000"/>
      <w:sz w:val="22"/>
    </w:rPr>
  </w:style>
  <w:style w:styleId="Caption" w:type="paragraph">
    <w:name w:val="Caption"/>
    <w:basedOn w:val="Normal"/>
    <w:link w:val="BodyTextChar"/>
    <w:pPr>
      <w:spacing w:after="0" w:before="0" w:line="480" w:lineRule="auto"/>
    </w:pPr>
    <w:rPr>
      <w:rFonts w:ascii="Arial" w:hAnsi="Arial"/>
      <w:i/>
      <w:color w:val="000000"/>
      <w:sz w:val="22"/>
    </w:rPr>
  </w:style>
  <w:style w:customStyle="1" w:styleId="TableCaption" w:type="paragraph">
    <w:name w:val="Table Caption"/>
    <w:basedOn w:val="Caption"/>
    <w:pPr>
      <w:keepNext/>
      <w:spacing w:line="480" w:lineRule="auto" w:after="0"/>
    </w:pPr>
    <w:rPr>
      <w:rFonts w:ascii="Arial" w:hAnsi="Arial"/>
      <w:color w:val="000000"/>
      <w:sz w:val="22"/>
    </w:rPr>
  </w:style>
  <w:style w:customStyle="1" w:styleId="ImageCaption" w:type="paragraph">
    <w:name w:val="Image Caption"/>
    <w:basedOn w:val="Caption"/>
    <w:pPr>
      <w:spacing w:line="480" w:lineRule="auto" w:after="0"/>
    </w:pPr>
    <w:rPr>
      <w:rFonts w:ascii="Arial" w:hAnsi="Arial"/>
      <w:color w:val="000000"/>
      <w:sz w:val="22"/>
    </w:rPr>
  </w:style>
  <w:style w:customStyle="1" w:styleId="Figure" w:type="paragraph">
    <w:name w:val="Figure"/>
    <w:basedOn w:val="Normal"/>
    <w:pPr>
      <w:spacing w:line="480" w:lineRule="auto" w:after="0"/>
    </w:pPr>
    <w:rPr>
      <w:rFonts w:ascii="Arial" w:hAnsi="Arial"/>
      <w:color w:val="000000"/>
      <w:sz w:val="22"/>
    </w:rPr>
  </w:style>
  <w:style w:customStyle="1" w:styleId="CaptionedFigure" w:type="paragraph">
    <w:name w:val="Captioned Figure"/>
    <w:basedOn w:val="Figure"/>
    <w:pPr>
      <w:keepNext/>
      <w:spacing w:line="480" w:lineRule="auto" w:after="0"/>
    </w:pPr>
    <w:rPr>
      <w:rFonts w:ascii="Arial" w:hAnsi="Arial"/>
      <w:color w:val="00000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after="0"/>
      <w:outlineLvl w:val="9"/>
    </w:pPr>
    <w:rPr>
      <w:rFonts w:cstheme="majorBidi" w:ascii="Arial" w:hAnsi="Arial"/>
      <w:b w:val="0"/>
      <w:bCs w:val="0"/>
      <w:color w:val="000000"/>
      <w:sz w:val="22"/>
    </w:rPr>
  </w:style>
  <w:style w:type="paragraph" w:customStyle="1" w:styleId="SourceCode">
    <w:name w:val="Source Code"/>
    <w:basedOn w:val="Normal"/>
    <w:link w:val="VerbatimChar"/>
    <w:pPr>
      <w:wordWrap w:val="off"/>
      <w:spacing w:line="480" w:lineRule="auto" w:after="0"/>
    </w:pPr>
    <w:rPr>
      <w:rFonts w:ascii="Arial" w:hAnsi="Arial"/>
      <w:color w:val="000000"/>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hyperlink" Target="https://aclanthology.org/2025.coling-main.84/" TargetMode="External"/><Relationship Id="rId35" Type="http://schemas.openxmlformats.org/officeDocument/2006/relationships/hyperlink" Target="https://alisalman-et-al.github.io/arbiter-JAMIA/results.html" TargetMode="External"/><Relationship Id="rId36" Type="http://schemas.openxmlformats.org/officeDocument/2006/relationships/hyperlink" Target="https://alisalman-et-al.github.io/arbiter-JAMIA/supplement.html" TargetMode="External"/><Relationship Id="rId56" Type="http://schemas.openxmlformats.org/officeDocument/2006/relationships/hyperlink" Target="https://arxiv.org/abs/2609.11185v1" TargetMode="External"/><Relationship Id="rId49" Type="http://schemas.openxmlformats.org/officeDocument/2006/relationships/hyperlink" Target="https://doi.org/10.1002/cesm.70044" TargetMode="External"/><Relationship Id="rId54" Type="http://schemas.openxmlformats.org/officeDocument/2006/relationships/hyperlink" Target="https://doi.org/10.1016/j.ebiom.2026.106238" TargetMode="External"/><Relationship Id="rId53" Type="http://schemas.openxmlformats.org/officeDocument/2006/relationships/hyperlink" Target="https://doi.org/10.1016/j.jclinepi.2010.03.002" TargetMode="External"/><Relationship Id="rId40" Type="http://schemas.openxmlformats.org/officeDocument/2006/relationships/hyperlink" Target="https://doi.org/10.1016/j.jclinepi.2020.06.015" TargetMode="External"/><Relationship Id="rId41" Type="http://schemas.openxmlformats.org/officeDocument/2006/relationships/hyperlink" Target="https://doi.org/10.1016/j.jclinepi.2021.09.021" TargetMode="External"/><Relationship Id="rId52" Type="http://schemas.openxmlformats.org/officeDocument/2006/relationships/hyperlink" Target="https://doi.org/10.1038/s41591-024-03425-5" TargetMode="External"/><Relationship Id="rId43" Type="http://schemas.openxmlformats.org/officeDocument/2006/relationships/hyperlink" Target="https://doi.org/10.1093/jamia/ocv044" TargetMode="External"/><Relationship Id="rId39" Type="http://schemas.openxmlformats.org/officeDocument/2006/relationships/hyperlink" Target="https://doi.org/10.1136/bmj.l4898" TargetMode="External"/><Relationship Id="rId48" Type="http://schemas.openxmlformats.org/officeDocument/2006/relationships/hyperlink" Target="https://doi.org/10.1136/bmjebm-2025-114055" TargetMode="External"/><Relationship Id="rId42" Type="http://schemas.openxmlformats.org/officeDocument/2006/relationships/hyperlink" Target="https://doi.org/10.1136/bmjopen-2018-028382" TargetMode="External"/><Relationship Id="rId60" Type="http://schemas.openxmlformats.org/officeDocument/2006/relationships/hyperlink" Target="https://doi.org/10.1186/s12874-022-01649-y" TargetMode="External"/><Relationship Id="rId59" Type="http://schemas.openxmlformats.org/officeDocument/2006/relationships/hyperlink" Target="https://doi.org/10.1186/s12911-019-0814-z" TargetMode="External"/><Relationship Id="rId46" Type="http://schemas.openxmlformats.org/officeDocument/2006/relationships/hyperlink" Target="https://doi.org/10.1371/journal.pone.0353155" TargetMode="External"/><Relationship Id="rId44" Type="http://schemas.openxmlformats.org/officeDocument/2006/relationships/hyperlink" Target="https://doi.org/10.18653/v1/2025.emnlp-demos.2" TargetMode="External"/><Relationship Id="rId47" Type="http://schemas.openxmlformats.org/officeDocument/2006/relationships/hyperlink" Target="https://doi.org/10.2196/70450" TargetMode="External"/><Relationship Id="rId50" Type="http://schemas.openxmlformats.org/officeDocument/2006/relationships/hyperlink" Target="https://doi.org/10.2196/84915" TargetMode="External"/><Relationship Id="rId57" Type="http://schemas.openxmlformats.org/officeDocument/2006/relationships/hyperlink" Target="https://doi.org/10.2196/93761" TargetMode="External"/><Relationship Id="rId55" Type="http://schemas.openxmlformats.org/officeDocument/2006/relationships/hyperlink" Target="https://doi.org/10.63528/jebp.2026.00011" TargetMode="External"/><Relationship Id="rId58" Type="http://schemas.openxmlformats.org/officeDocument/2006/relationships/hyperlink" Target="https://doi.org/10.64898/2026.09.22.26363693" TargetMode="External"/><Relationship Id="rId51" Type="http://schemas.openxmlformats.org/officeDocument/2006/relationships/hyperlink" Target="https://doi.org/10.7326/ANNALS-25-00739" TargetMode="External"/><Relationship Id="rId20" Type="http://schemas.openxmlformats.org/officeDocument/2006/relationships/hyperlink" Target="https://github.com/AliSalman-et-al/ARBITER/tree/2f549ae30f056ff441ea61a04b719968716f2219" TargetMode="External"/><Relationship Id="rId34" Type="http://schemas.openxmlformats.org/officeDocument/2006/relationships/hyperlink" Target="https://github.com/AliSalman-et-al/arbiter-JAMIA"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5" Type="http://schemas.openxmlformats.org/officeDocument/2006/relationships/hyperlink" Target="https://aclanthology.org/2025.coling-main.84/" TargetMode="External"/><Relationship Id="rId35" Type="http://schemas.openxmlformats.org/officeDocument/2006/relationships/hyperlink" Target="https://alisalman-et-al.github.io/arbiter-JAMIA/results.html" TargetMode="External"/><Relationship Id="rId36" Type="http://schemas.openxmlformats.org/officeDocument/2006/relationships/hyperlink" Target="https://alisalman-et-al.github.io/arbiter-JAMIA/supplement.html" TargetMode="External"/><Relationship Id="rId56" Type="http://schemas.openxmlformats.org/officeDocument/2006/relationships/hyperlink" Target="https://arxiv.org/abs/2609.11185v1" TargetMode="External"/><Relationship Id="rId49" Type="http://schemas.openxmlformats.org/officeDocument/2006/relationships/hyperlink" Target="https://doi.org/10.1002/cesm.70044" TargetMode="External"/><Relationship Id="rId54" Type="http://schemas.openxmlformats.org/officeDocument/2006/relationships/hyperlink" Target="https://doi.org/10.1016/j.ebiom.2026.106238" TargetMode="External"/><Relationship Id="rId53" Type="http://schemas.openxmlformats.org/officeDocument/2006/relationships/hyperlink" Target="https://doi.org/10.1016/j.jclinepi.2010.03.002" TargetMode="External"/><Relationship Id="rId40" Type="http://schemas.openxmlformats.org/officeDocument/2006/relationships/hyperlink" Target="https://doi.org/10.1016/j.jclinepi.2020.06.015" TargetMode="External"/><Relationship Id="rId41" Type="http://schemas.openxmlformats.org/officeDocument/2006/relationships/hyperlink" Target="https://doi.org/10.1016/j.jclinepi.2021.09.021" TargetMode="External"/><Relationship Id="rId52" Type="http://schemas.openxmlformats.org/officeDocument/2006/relationships/hyperlink" Target="https://doi.org/10.1038/s41591-024-03425-5" TargetMode="External"/><Relationship Id="rId43" Type="http://schemas.openxmlformats.org/officeDocument/2006/relationships/hyperlink" Target="https://doi.org/10.1093/jamia/ocv044" TargetMode="External"/><Relationship Id="rId39" Type="http://schemas.openxmlformats.org/officeDocument/2006/relationships/hyperlink" Target="https://doi.org/10.1136/bmj.l4898" TargetMode="External"/><Relationship Id="rId48" Type="http://schemas.openxmlformats.org/officeDocument/2006/relationships/hyperlink" Target="https://doi.org/10.1136/bmjebm-2025-114055" TargetMode="External"/><Relationship Id="rId42" Type="http://schemas.openxmlformats.org/officeDocument/2006/relationships/hyperlink" Target="https://doi.org/10.1136/bmjopen-2018-028382" TargetMode="External"/><Relationship Id="rId60" Type="http://schemas.openxmlformats.org/officeDocument/2006/relationships/hyperlink" Target="https://doi.org/10.1186/s12874-022-01649-y" TargetMode="External"/><Relationship Id="rId59" Type="http://schemas.openxmlformats.org/officeDocument/2006/relationships/hyperlink" Target="https://doi.org/10.1186/s12911-019-0814-z" TargetMode="External"/><Relationship Id="rId46" Type="http://schemas.openxmlformats.org/officeDocument/2006/relationships/hyperlink" Target="https://doi.org/10.1371/journal.pone.0353155" TargetMode="External"/><Relationship Id="rId44" Type="http://schemas.openxmlformats.org/officeDocument/2006/relationships/hyperlink" Target="https://doi.org/10.18653/v1/2025.emnlp-demos.2" TargetMode="External"/><Relationship Id="rId47" Type="http://schemas.openxmlformats.org/officeDocument/2006/relationships/hyperlink" Target="https://doi.org/10.2196/70450" TargetMode="External"/><Relationship Id="rId50" Type="http://schemas.openxmlformats.org/officeDocument/2006/relationships/hyperlink" Target="https://doi.org/10.2196/84915" TargetMode="External"/><Relationship Id="rId57" Type="http://schemas.openxmlformats.org/officeDocument/2006/relationships/hyperlink" Target="https://doi.org/10.2196/93761" TargetMode="External"/><Relationship Id="rId55" Type="http://schemas.openxmlformats.org/officeDocument/2006/relationships/hyperlink" Target="https://doi.org/10.63528/jebp.2026.00011" TargetMode="External"/><Relationship Id="rId58" Type="http://schemas.openxmlformats.org/officeDocument/2006/relationships/hyperlink" Target="https://doi.org/10.64898/2026.09.22.26363693" TargetMode="External"/><Relationship Id="rId51" Type="http://schemas.openxmlformats.org/officeDocument/2006/relationships/hyperlink" Target="https://doi.org/10.7326/ANNALS-25-00739" TargetMode="External"/><Relationship Id="rId20" Type="http://schemas.openxmlformats.org/officeDocument/2006/relationships/hyperlink" Target="https://github.com/AliSalman-et-al/ARBITER/tree/2f549ae30f056ff441ea61a04b719968716f2219" TargetMode="External"/><Relationship Id="rId34" Type="http://schemas.openxmlformats.org/officeDocument/2006/relationships/hyperlink" Target="https://github.com/AliSalman-et-al/arbiter-JAM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2026-10-23T11:04:44Z</dcterms:created>
  <dcterms:modified xsi:type="dcterms:W3CDTF">2026-10-23T11:04:44Z</dcterms:modified>
</cp:coreProperties>
</file>

<file path=docProps/custom.xml><?xml version="1.0" encoding="utf-8"?>
<Properties xmlns="http://schemas.openxmlformats.org/officeDocument/2006/custom-properties" xmlns:vt="http://schemas.openxmlformats.org/officeDocument/2006/docPropsVTypes"/>
</file>