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Benchmark set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18"/>
        <w:gridCol w:w="2304"/>
        <w:gridCol w:w="504"/>
        <w:gridCol w:w="2405"/>
        <w:gridCol w:w="576"/>
        <w:gridCol w:w="1109"/>
        <w:gridCol w:w="77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Specialty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Journal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Year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Topic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Trials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Published D1–D5 labels, Low / SC / High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given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SGLT2 inhibitors and kidney outcomes across eGFR and albuminuria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General 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Clopidogrel vs aspirin for secondary prevention of coronary artery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 Am Coll Cardiol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Early aortic valve replacement vs surveillance in asymptomatic severe aortic stenosis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Endocrinology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Diabetes Endocrinol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kidney and cardiovascular outcomes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Gastroenterology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GLP-1 receptor agonists and gastrointestinal adverse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/ 4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Infectious diseases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Infect 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Safety of high-dose rifampin in tuberculosis treatment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Nephrology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Clin J Am Soc Nephrol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Therapies for proteinuria and eGFR decline in IgA nephropathy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5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Neurology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Neurol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Pharmacotherapy and non-invasive neuromodulation for neuropathic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/ 7 /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Obstetrics and gynaecology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Hum Reprod Update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Preconception lifestyle interventions for women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/ 10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Oncology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Oncol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CDK4/6 inhibitors plus endocrine therapy in HR-positive, HER2-negative advanced breast 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/ 0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Orthopaedics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Am J Sports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Lateral extra-articular procedure added to primary ACL reconstruction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/ 3 /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Paediatrics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JAMA Pediatr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Active treatment vs expectant management of patent ductus arteriosus in preterm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Psychiatry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Cannabinoids for mental and substance use disorders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/ 6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Pulmonary and critical care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Respir 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Preoxygenation strategies for intubation in critically ill patients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/ 0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Rheumatology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Lancet Rheumatol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Long-term effectiveness of non-surgical interventions for chronic low back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/ 23 / 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Surgery and anaesthesia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 J Anaesth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Home-based prehabilitation before surgery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/ 2 /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 / 69 / 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/ 102</w:t>
            </w:r>
          </w:p>
        </w:tc>
      </w:tr>
      <w:tr>
        <w:trPr>
          <w:cantSplit/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SC, Some concerns; RoB 2, risk of bias tool for randomised trials. Counts are published labels pooled across D1–D5. Overall given indicates whether published Overall labels are available; total is labelled trials/all trials. The analysis excludes three unsupported-design trials from all arms. Metadata are curated from the source meta-analyses. ACL, anterior cruciate ligament; CDK4/6, cyclin-dependent kinases 4 and 6; eGFR, estimated glomerular filtration rate; GLP-1, glucagon-like peptide-1; HER2, human epidermal growth factor receptor 2; HR, hormone receptor; IgA, immunoglobulin A; SGLT2, sodium-glucose cotransporter 2.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2026-10-19T01:08:18Z</dcterms:modified>
  <cp:category/>
</cp:coreProperties>
</file>