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992"/>
        <w:gridCol w:w="1992"/>
        <w:gridCol w:w="2549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Preferred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(78.6–88.9)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(38.1–51.6)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(42.2–56.5)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Gwet’s AC2; raw agreement as n/N (%) with CI bounds in %.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2026-10-19T01:08:20Z</dcterms:modified>
  <cp:category/>
</cp:coreProperties>
</file>