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bookmarkStart w:id="1" w:name="loc_0"/>
      <w:pPr>
        <w:pStyle w:val="Titre1"/>
      </w:pPr>
      <w:r>
        <w:t>Table 2. Conditional primary endpoint and core sensitivities</w:t>
      </w:r>
      <w:bookmarkEnd w:id="1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3354"/>
        <w:gridCol w:w="6510"/>
      </w:tblGrid>
      <w:tr>
        <w:trPr>
          <w:cantSplit/>
          <w:tblHeader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Population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ARBITER, No./total (%) (95% CI)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Agreed choices (formal primary)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53/60 (88%; 80–96)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Expert 1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63/80 (79%; 70–87)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Expert 2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61/80 (76%; 68–85)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All splits counted against ARBITER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53/80 (66%; 58–75)</w:t>
            </w:r>
          </w:p>
        </w:tc>
      </w:tr>
      <w:tr>
        <w:trPr>
          <w:cantSplit/>
        </w:trPr>
        <w:tc>
          <w:tcPr>
            <w:gridSpan w:val="2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formal primary endpoint conditions on 80 arm-discordant cells and the 60 for which the experts made an agreed choice; 20 choices split. Expert-specific sensitivities use all 80. The final row counts all 20 splits against ARBITER by assumption, without assigning Unassisted wins. Expert 1 chose neither arm in 4/80 cells; this is distinct from the split-loss assumption. CI, 95%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footerReference w:type="default" r:id="rId7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00" w:before="0" w:line="312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2026-10-22T17:29:31Z</dcterms:modified>
  <cp:category/>
</cp:coreProperties>
</file>