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Post hoc severity-stratified win share</w:t>
      </w:r>
    </w:p>
    <w:p>
      <w:pPr>
        <w:pStyle w:val="ManuscriptBody"/>
      </w:pPr>
      <w:r>
        <w:t xml:space="preserve">eTable 13. Vindicated disagreements with Published, including split cells</w:t>
      </w:r>
    </w:p>
    <w:p>
      <w:pPr>
        <w:pStyle w:val="ManuscriptBody"/>
      </w:pPr>
      <w:r>
        <w:t xml:space="preserve">eTable 14. Per-adjudicator and split-cell win-share sensitivity</w:t>
      </w:r>
    </w:p>
    <w:p>
      <w:pPr>
        <w:pStyle w:val="ManuscriptBody"/>
      </w:pPr>
      <w:r>
        <w:t xml:space="preserve">eTable 15. Paired differences against Published</w:t>
      </w:r>
    </w:p>
    <w:p>
      <w:pPr>
        <w:pStyle w:val="ManuscriptBody"/>
      </w:pPr>
      <w:r>
        <w:t xml:space="preserve">eTable 16. Paired differences against the composite reference</w:t>
      </w:r>
    </w:p>
    <w:p>
      <w:pPr>
        <w:pStyle w:val="ManuscriptBody"/>
      </w:pPr>
      <w:r>
        <w:t xml:space="preserve">eTable 17. Composite sensitivity using Adjudicator 1</w:t>
      </w:r>
    </w:p>
    <w:p>
      <w:pPr>
        <w:pStyle w:val="ManuscriptBody"/>
      </w:pPr>
      <w:r>
        <w:t xml:space="preserve">eTable 18. Composite paired differences using Adjudicator 1</w:t>
      </w:r>
    </w:p>
    <w:p>
      <w:pPr>
        <w:pStyle w:val="ManuscriptBody"/>
      </w:pPr>
      <w:r>
        <w:t xml:space="preserve">eTable 19. Composite sensitivity using Adjudicator 2</w:t>
      </w:r>
    </w:p>
    <w:p>
      <w:pPr>
        <w:pStyle w:val="ManuscriptBody"/>
      </w:pPr>
      <w:r>
        <w:t xml:space="preserve">eTable 20. Composite paired differences using Adjudicator 2</w:t>
      </w:r>
    </w:p>
    <w:p>
      <w:pPr>
        <w:pStyle w:val="ManuscriptBody"/>
      </w:pPr>
      <w:r>
        <w:t xml:space="preserve">eTable 21. Missing-judgement sensitivity: paired observed Haiku cells</w:t>
      </w:r>
    </w:p>
    <w:p>
      <w:pPr>
        <w:pStyle w:val="ManuscriptBody"/>
      </w:pPr>
      <w:r>
        <w:t xml:space="preserve">eTable 22. Missing-judgement sensitivity: paired Haiku differences</w:t>
      </w:r>
    </w:p>
    <w:p>
      <w:pPr>
        <w:pStyle w:val="ManuscriptBody"/>
      </w:pPr>
      <w:r>
        <w:t xml:space="preserve">eTable 23. Localisation population eligibility</w:t>
      </w:r>
    </w:p>
    <w:p>
      <w:pPr>
        <w:pStyle w:val="ManuscriptBody"/>
      </w:pPr>
      <w:r>
        <w:t xml:space="preserve">eTable 24. Error-localisation classes, both populations</w:t>
      </w:r>
    </w:p>
    <w:p>
      <w:pPr>
        <w:pStyle w:val="ManuscriptBody"/>
      </w:pPr>
      <w:r>
        <w:t xml:space="preserve">eTable 25. Decisive-question frequencies, both populations</w:t>
      </w:r>
    </w:p>
    <w:p>
      <w:pPr>
        <w:pStyle w:val="ManuscriptBody"/>
      </w:pPr>
      <w:r>
        <w:t xml:space="preserve">eTable 26. Unresolved independent answer</w:t>
      </w:r>
    </w:p>
    <w:p>
      <w:pPr>
        <w:pStyle w:val="ManuscriptBody"/>
      </w:pPr>
      <w:r>
        <w:t xml:space="preserve">eTable 27. Recorded model override</w:t>
      </w:r>
    </w:p>
    <w:p>
      <w:pPr>
        <w:pStyle w:val="ManuscriptBody"/>
      </w:pPr>
      <w:r>
        <w:t xml:space="preserve">eTable 28. Quotation syntax in active justifications</w:t>
      </w:r>
    </w:p>
    <w:p>
      <w:pPr>
        <w:pStyle w:val="ManuscriptBody"/>
      </w:pPr>
      <w:r>
        <w:t xml:space="preserve">eTable 29. Unassisted justification content</w:t>
      </w:r>
    </w:p>
    <w:p>
      <w:pPr>
        <w:pStyle w:val="ManuscriptBody"/>
      </w:pPr>
      <w:r>
        <w:t xml:space="preserve">eTable 30. Exploratory signalling-answer agreement</w:t>
      </w:r>
    </w:p>
    <w:p>
      <w:pPr>
        <w:pStyle w:val="ManuscriptBody"/>
      </w:pPr>
      <w:r>
        <w:t xml:space="preserve">eTable 31. AVATAR complete trace</w:t>
      </w:r>
    </w:p>
    <w:p>
      <w:pPr>
        <w:pStyle w:val="ManuscriptBody"/>
      </w:pPr>
      <w:r>
        <w:t xml:space="preserve">eFigure 1. Agreement against Published by meta-analysis</w:t>
      </w:r>
    </w:p>
    <w:p>
      <w:pPr>
        <w:pStyle w:val="ManuscriptBody"/>
      </w:pPr>
      <w:r>
        <w:t xml:space="preserve">eFigure 2. Disagreement patterns and preferred judgements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the 62 consensus discordant cells, stratified by ARBITER severity relative to Unassisted. ARBITER more severe: 44 ARBITER wins, 1 Unassisted, 0 neither (45 cells); less severe: 10, 6, 1 (17 cells).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Vindicated disagreements with Published, including split cells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consensus disagreements as the denominator; split cells are displayed separately. Vindicated means preferred equals the source label; Published upheld means preferred equals Published; Other label means neither. Counts, consensus denominator and all-cell denominator are shown.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6834" w:w="11909" w:orient="portrait"/>
          <w:type w:val="continuous"/>
          <w:cols/>
        </w:sectPr>
      </w:pPr>
    </w:p>
    <w:p>
      <w:pPr>
        <w:pStyle w:val="Titre2"/>
      </w:pPr>
      <w:r>
        <w:t xml:space="preserve">eTable 31.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All ARBITER answers, full evidence-record quotes, basis types, justifications, unknowns and source locations are shown alongside Unassisted answers and verbatim domain rationale. Inactive questions follow branching. Part A lists each of the 22 questions once, with inactive questions marked Not asked. In the Unknowns and Counterevidence columns, — means none recorded. Part B lists each of the 16 archived evidence records (15 cited by the current answers; one additional captured record retained) once. Full quotes retain every word; original line breaks are collapsed to spaces for compactness in this display. Machine-readable full trace: analysis/data-derived/avatar-trace.json. This eTable alone uses landscape pages and Arial 8 pt. Figure and table numbers inside verbatim quotations refer to the original source documents. Source hashes identify captured source versions. Original clinical wording in quotations and rationale is retained verbatim; it does not name an analysis arm.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eFigure 2. Disagreement patterns and preferred judgements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All 154 disputed cells, grouped by disagreement with Published and preferred-label outcome. Counts use label equality; split cells are separate. Shared labels count as both arms preferred.</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2026-10-18T21:42:11Z</dcterms:modified>
  <cp:category/>
</cp:coreProperties>
</file>