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Benchmark set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2"/>
        <w:gridCol w:w="1699"/>
        <w:gridCol w:w="619"/>
        <w:gridCol w:w="2808"/>
        <w:gridCol w:w="662"/>
        <w:gridCol w:w="1469"/>
        <w:gridCol w:w="965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 D1–D5 labels, Low / SC / High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 Am Coll Cardiol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Diabetes Endocrinol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Infect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J Am Soc Nephrol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Neurol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 Reprod Update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Oncol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 J Sports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Respir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Rheumatol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 J Anaesth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SC, Some concerns; RoB 2, risk of bias tool for randomised trials. Counts are published labels pooled across D1–D5. Overall given indicates whether published Overall labels are available; total is labelled trials/all trials. The analysis excludes three unsupported-design trials from all arms. Metadata are curated from the source meta-analyses. ACL, anterior cruciate ligament; CDK4/6, cyclin-dependent kinases 4 and 6; eGFR, estimated glomerular filtration rate; GLP-1, glucagon-like peptide-1; HER2, human epidermal growth factor receptor 2; HR, hormone receptor; IgA, immunoglobulin A; SGLT2, sodium-glucose cotransporter 2.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2026-10-18T21:41:16Z</dcterms:modified>
  <cp:category/>
</cp:coreProperties>
</file>