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2. Agreement (95% CI)</w:t>
      </w:r>
    </w:p>
    <w:tbl xmlns:a="http://schemas.openxmlformats.org/drawingml/2006/main" xmlns:pic="http://schemas.openxmlformats.org/drawingml/2006/picture">
      <w:tblPr>
        <w:tblLayout w:type="fixed"/>
        <w:jc w:val="center"/>
        <w:tblLook w:firstRow="1" w:lastRow="0" w:firstColumn="0" w:lastColumn="0" w:noHBand="0" w:noVBand="1"/>
      </w:tblPr>
      <w:tblGrid>
        <w:gridCol w:w="1469"/>
        <w:gridCol w:w="1699"/>
        <w:gridCol w:w="1814"/>
        <w:gridCol w:w="1598"/>
        <w:gridCol w:w="1555"/>
        <w:gridCol w:w="181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Against Published labels — D1–D5 (510 cells); Not Low N = 83; Low N = 427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75.7 (72.4–79.0)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66.3 (57.3–74.7)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81.3 (77.7–84.7)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77.5 (74.1–80.8)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 (40.3–60.2)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85.7 (82.1–89.3)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83.7 (81.0–86.5)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Against Published labels — Overall (81 trials); Not Low N = 39; Low N = 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58.0 (49.4–66.7)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92.3 (83.7–100.0)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 (44.2–67.4)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59.3 (50.6–67.9)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 (50.0–77.8)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(65.9–86.8)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51.9 (44.4–59.3)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Against composite reference — D1–D5 (485 cells)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97.3 (95.9–98.6)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87.6 (85.2–90.0)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difference, ARBITER − Unassisted</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 (−5.1 to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(6.8–24.4)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 (−7.6 to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(−11.1 to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28.2 (16.1–40.5)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(−32.7 to −9.8)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Composite: D1–D5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 (7.0–12.4)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coefficients or percentages (95% CI); denominators are in block labels. Not Low means Some concerns or High. All-Low rule has no variance; only accuracy and specificity are reported. Paired differences are coefficients or percentage points; — indicates undefined or not applicable.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Overall judgements were not adjudicated. Published labels were frequently less severe than the adjudicators’ preferred judgement (Figure 4).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2026-10-18T21:41:17Z</dcterms:modified>
  <cp:category/>
</cp:coreProperties>
</file>