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RoB 2 rule consistency and audit</w:t>
      </w:r>
    </w:p>
    <w:tbl xmlns:a="http://schemas.openxmlformats.org/drawingml/2006/main" xmlns:pic="http://schemas.openxmlformats.org/drawingml/2006/picture">
      <w:tblPr>
        <w:tblLayout w:type="fixed"/>
        <w:jc w:val="center"/>
        <w:tblLook w:firstRow="1" w:lastRow="0" w:firstColumn="0" w:lastColumn="0" w:noHBand="0" w:noVBand="1"/>
      </w:tblPr>
      <w:tblGrid>
        <w:gridCol w:w="4392"/>
        <w:gridCol w:w="2304"/>
        <w:gridCol w:w="316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judgements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3.3–6.9)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5.7–10.0)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10.0–15.6)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judgement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Signalling 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in Unassisted departure-type cells, the range after the semicolon is the 95% CI in percent. * Guaranteed by design: the server computes domain judgements with the official algorithm and rejects incomplete answer paths; reported to confirm the implementation, not as an empirical finding.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coverage uses active signalling answers as the denominator and answers citing at least one evidence record as the numerator.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2026-10-18T21:41:18Z</dcterms:modified>
  <cp:category/>
</cp:coreProperties>
</file>