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4. Reliability of the reference standard (95% CI)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888"/>
        <w:gridCol w:w="1992"/>
        <w:gridCol w:w="1992"/>
        <w:gridCol w:w="1992"/>
      </w:tblGrid>
      <w:tr>
        <w:trPr>
          <w:cantSplit/>
          <w:trHeight w:val="496" w:hRule="auto"/>
          <w:tblHeader/>
        </w:trPr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Comparison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Weighted κ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AC2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Raw agreement</w:t>
            </w:r>
          </w:p>
        </w:tc>
      </w:tr>
      <w:tr>
        <w:trPr>
          <w:cantSplit/>
          <w:trHeight w:val="480" w:hRule="auto"/>
        </w:trPr>
        <w:tc>
          <w:tcPr>
            <w:gridSpan w:val="4"/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Between adjudicators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Independent judgements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0.59 (0.48–0.68)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0.69 (0.61–0.77)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114/154 (74.0%) (68.2–79.9)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Preferred judgements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0.69 (0.57–0.79)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0.83 (0.77–0.89)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129/154 (83.8%) (78.6–88.9)</w:t>
            </w:r>
          </w:p>
        </w:tc>
      </w:tr>
      <w:tr>
        <w:trPr>
          <w:cantSplit/>
          <w:trHeight w:val="480" w:hRule="auto"/>
        </w:trPr>
        <w:tc>
          <w:tcPr>
            <w:gridSpan w:val="4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Adjudicator 1 independent vs …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−0.08 (−0.17 to 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−0.06 (−0.18 to 0.07)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34/154 (22.1%) (15.8–28.5)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ARBITER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0.52 (0.41–0.62)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0.66 (0.57–0.74)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107/154 (69.5%) (62.7–76.0)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Unassisted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0.22 (0.13–0.30)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0.28 (0.18–0.38)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69/154 (44.8%) (38.1–51.6)</w:t>
            </w:r>
          </w:p>
        </w:tc>
      </w:tr>
      <w:tr>
        <w:trPr>
          <w:cantSplit/>
          <w:trHeight w:val="480" w:hRule="auto"/>
        </w:trPr>
        <w:tc>
          <w:tcPr>
            <w:gridSpan w:val="4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Adjudicator 2 independent vs …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−0.08 (−0.18 to 0.03)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0.14 (0.04–0.24)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42/154 (27.3%) (20.4–34.3)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ARBITER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0.67 (0.56–0.76)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0.79 (0.73–0.85)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120/154 (77.9%) (71.7–84.0)</w:t>
            </w:r>
          </w:p>
        </w:tc>
      </w:tr>
      <w:tr>
        <w:trPr>
          <w:cantSplit/>
          <w:trHeight w:val="49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Unassisted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0.31 (0.19–0.42)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0.45 (0.37–0.53)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76/154 (49.4%) (42.2–56.5)</w:t>
            </w:r>
          </w:p>
        </w:tc>
      </w:tr>
      <w:tr>
        <w:trPr>
          <w:cantSplit/>
          <w:trHeight w:val="360" w:hRule="auto"/>
        </w:trPr>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All comparisons use the 154 disputed cells, selected because at least one Sonnet arm differed from Published. These comparisons cannot estimate agreement or published-label accuracy in the full benchmark. Independent judgements preceded blinded label presentation; preferred judgements selected among the three offered labels. Linearly weighted Cohen’s κ; Gwet’s AC2; raw agreement as n/N (%) with CI bounds in %. CI, confidence interval; 10,000 percentile bootstrap replicates, trials resampled within meta-analysis; seed 20261018.</w:t>
            </w:r>
          </w:p>
        </w:tc>
      </w:tr>
    </w:tbl>
    <w:sectPr>
      <w:pgMar w:header="708" w:bottom="864" w:top="864" w:right="936" w:left="936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xmlns:w="http://schemas.openxmlformats.org/wordprocessingml/2006/main" w:type="paragraph" w:customStyle="1" w:styleId="Titre1">
    <w:name w:val="heading 1"/>
    <w:basedOn w:val="Normal"/>
    <w:pPr>
      <w:jc w:val="left"/>
      <w:keepNext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120" w:before="160" w:line="240"/>
      <w:ind w:left="0" w:right="0" w:firstLine="0" w:firstLineChars="0"/>
    </w:pPr>
    <w:rPr>
      <w:rFonts w:ascii="Arial" w:hAnsi="Arial" w:eastAsia="Arial" w:cs="Arial"/>
      <w:i w:val="false"/>
      <w:b w:val="true"/>
      <w:u w:val="none"/>
      <w:strike w:val="false"/>
      <w:sz w:val="24"/>
      <w:szCs w:val="24"/>
      <w:color w:val="000000"/>
    </w:rPr>
  </w:style>
  <w:style xmlns:w="http://schemas.openxmlformats.org/wordprocessingml/2006/main" w:type="paragraph" w:customStyle="1" w:styleId="Titre2">
    <w:name w:val="heading 2"/>
    <w:basedOn w:val="Normal"/>
    <w:pPr>
      <w:jc w:val="left"/>
      <w:keepNext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80" w:before="120" w:line="240"/>
      <w:ind w:left="0" w:right="0" w:firstLine="0" w:firstLineChars="0"/>
    </w:pPr>
    <w:rPr>
      <w:rFonts w:ascii="Arial" w:hAnsi="Arial" w:eastAsia="Arial" w:cs="Arial"/>
      <w:i w:val="false"/>
      <w:b w:val="true"/>
      <w:u w:val="none"/>
      <w:strike w:val="false"/>
      <w:sz w:val="20"/>
      <w:szCs w:val="20"/>
      <w:color w:val="000000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  <w:style xmlns:w="http://schemas.openxmlformats.org/wordprocessingml/2006/main" w:type="paragraph" w:customStyle="1" w:styleId="ManuscriptBody">
    <w:name w:val="Manuscript body"/>
    <w:basedOn w:val="Normal"/>
    <w:pPr>
      <w:jc w:val="lef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Pr>
      <w:rFonts w:ascii="Arial" w:hAnsi="Arial" w:eastAsia="Arial" w:cs="Arial"/>
      <w:i w:val="false"/>
      <w:b w:val="false"/>
      <w:u w:val="none"/>
      <w:strike w:val="false"/>
      <w:sz w:val="20"/>
      <w:szCs w:val="20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2026-10-18T21:41:19Z</dcterms:modified>
  <cp:category/>
</cp:coreProperties>
</file>