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26e74a24f867deabfa9c1d5ee51de4ca1fc52bd"/>
    <w:p>
      <w:pPr>
        <w:pStyle w:val="Title"/>
      </w:pPr>
      <w:r>
        <w:rPr>
          <w:b/>
          <w:sz w:val="28"/>
        </w:rPr>
        <w:t xml:space="preserve">ARBITER: an auditable workflow for AI-assisted risk-of-bias assessment</w:t>
      </w:r>
    </w:p>
    <w:bookmarkStart w:id="9" w:name="front-matter-notes"/>
    <w:p>
      <w:pPr>
        <w:pStyle w:val="FirstParagraph"/>
      </w:pPr>
      <w:r>
        <w:t xml:space="preserve">Article type: Research and Applications. Main displays comprise five figures and three tables.</w:t>
      </w:r>
    </w:p>
    <w:p>
      <w:pPr>
        <w:pStyle w:val="BodyText"/>
      </w:pPr>
      <w:r>
        <w:t xml:space="preserve">Author: Ali Salman, MBBS. Affiliations: [Department, institution, city and country]. Correspondence: [Postal address, email and telephone]. [Confirm complete author list and order].</w:t>
      </w:r>
    </w:p>
    <w:p>
      <w:pPr>
        <w:pStyle w:val="BodyText"/>
      </w:pPr>
      <w:r>
        <w:t xml:space="preserve">Keywords: artificial intelligence; risk of bias; evidence synthesis; reproducibility; clinical trials.</w:t>
      </w:r>
    </w:p>
    <w:p>
      <w:r>
        <w:t>Word counts: main text 2787; structured abstract 232.</w:t>
      </w:r>
    </w:p>
    <w:bookmarkEnd w:id="9"/>
    <w:bookmarkStart w:id="15" w:name="abstract"/>
    <w:p>
      <w:bookmarkStart w:id="70" w:name="loc_5"/>
      <w:pPr>
        <w:pStyle w:val="Heading1"/>
        <w:pageBreakBefore/>
        <w:spacing w:line="240" w:lineRule="auto"/>
      </w:pPr>
      <w:r>
        <w:rPr>
          <w:b/>
        </w:rPr>
        <w:t>ABSTRACT</w:t>
      </w:r>
      <w:bookmarkEnd w:id="70"/>
    </w:p>
    <w:bookmarkStart w:id="10" w:name="objective"/>
    <w:p>
      <w:pPr>
        <w:pStyle w:val="FirstParagraph"/>
        <w:spacing w:after="80"/>
      </w:pPr>
      <w:r>
        <w:rPr>
          <w:b/>
        </w:rPr>
        <w:t xml:space="preserve">Objective. </w:t>
      </w:r>
      <w:r>
        <w:t xml:space="preserve">To present an inspectable workflow for the Cochrane risk-of-bias tool for randomised trials (RoB 2) and evaluate its judgments against independent experts.</w:t>
      </w:r>
    </w:p>
    <w:bookmarkEnd w:id="10"/>
    <w:bookmarkStart w:id="11" w:name="materials-and-methods"/>
    <w:p>
      <w:pPr>
        <w:pStyle w:val="FirstParagraph"/>
        <w:spacing w:after="80"/>
      </w:pPr>
      <w:r>
        <w:rPr>
          <w:b/>
        </w:rPr>
        <w:t xml:space="preserve">Materials and Methods. </w:t>
      </w:r>
      <w:r>
        <w:t xml:space="preserve">ARBITER separates model interpretation from executable decision rules and retains sources, answers and evidence. We compared its Sonnet workflow with a same-model minimal-prompt comparator using identical supplied documents for 102 trials from 16 reviews. Two experts independently rated five domains per trial (510 trial–domain cells), then chose among blinded labels. The formal primary endpoint was ARBITER preference where arm ratings differed and both experts chose the same label; all-cell agreement was secondary. Paired intervals resampled trials within fixed reviews.</w:t>
      </w:r>
    </w:p>
    <w:bookmarkEnd w:id="11"/>
    <w:bookmarkStart w:id="12" w:name="results"/>
    <w:p>
      <w:pPr>
        <w:pStyle w:val="FirstParagraph"/>
        <w:spacing w:after="80"/>
      </w:pPr>
      <w:r>
        <w:rPr>
          <w:b/>
        </w:rPr>
        <w:t xml:space="preserve">Results. </w:t>
      </w:r>
      <w:r>
        <w:t xml:space="preserve">Agreed choices favored ARBITER in 53/60 cells (88%; 95% CI, 80–96%), from 80 arm-discordant cells with 20 split choices. Exact agreement was 371/510 (72.7%) versus 332/510 (65.1%) against Expert 1 and 433/510 (84.9%) versus 400/510 (78.4%) against Expert 2. Paired gains were 7.6 percentage points (95% CI, 5.1–10.2) and 6.5 (3.5–9.4), with the largest observed domain gains in selection of the reported result. Published-label agreement differed by −1.8 points (−5.1 to 1.6). All 510 ARBITER domain outputs followed executable rules; structural checks did not assess semantic evidence support. Median runtime was 7.6 versus 0.5 minutes per trial.</w:t>
      </w:r>
    </w:p>
    <w:bookmarkEnd w:id="12"/>
    <w:bookmarkStart w:id="13" w:name="discussion"/>
    <w:p>
      <w:pPr>
        <w:pStyle w:val="FirstParagraph"/>
        <w:spacing w:after="80"/>
      </w:pPr>
      <w:r>
        <w:rPr>
          <w:b/>
        </w:rPr>
        <w:t xml:space="preserve">Discussion. </w:t>
      </w:r>
      <w:r>
        <w:t xml:space="preserve">Agreement depended on domain and reference. The complete-workflow comparison does not isolate component effects or measure human workload.</w:t>
      </w:r>
    </w:p>
    <w:bookmarkEnd w:id="13"/>
    <w:bookmarkStart w:id="14" w:name="conclusion"/>
    <w:p>
      <w:pPr>
        <w:pStyle w:val="FirstParagraph"/>
        <w:spacing w:after="80"/>
      </w:pPr>
      <w:r>
        <w:rPr>
          <w:b/>
        </w:rPr>
        <w:t xml:space="preserve">Conclusion. </w:t>
      </w:r>
      <w:r>
        <w:t xml:space="preserve">ARBITER provides inspectable assessment records and had greater agreement with both independent experts in this benchmark.</w:t>
      </w:r>
    </w:p>
    <w:bookmarkEnd w:id="14"/>
    <w:bookmarkEnd w:id="15"/>
    <w:bookmarkStart w:id="16" w:name="background-and-significance"/>
    <w:p>
      <w:bookmarkStart w:id="76" w:name="loc_11"/>
      <w:pPr>
        <w:pStyle w:val="Heading1"/>
        <w:pageBreakBefore/>
      </w:pPr>
      <w:r>
        <w:rPr>
          <w:b/>
        </w:rPr>
        <w:t>BACKGROUND AND SIGNIFICANCE</w:t>
      </w:r>
      <w:bookmarkEnd w:id="76"/>
    </w:p>
    <w:p>
      <w:pPr>
        <w:pStyle w:val="FirstParagraph"/>
      </w:pPr>
      <w:r>
        <w:t xml:space="preserve">Reviewers need to understand how a risk-of-bias judgment follows from the trial evidence. The Cochrane risk-of-bias tool for randomised trials (RoB 2) structures assessment of a specific trial result through signalling questions, domain algorithms and an Overall judgment.[1] Applying it requires both interpretation of trial evidence and consistent translation of answers into ratings. Experienced assessors can disagree, and implementation instructions can improve reliability.[2–3] Published reviews also differ when assessing the same trials with the earlier instrument.[4–5] For AI-assisted appraisal, transparent records and human oversight are therefore central concerns of evidence-synthesis organizations.[6–7]</w:t>
      </w:r>
    </w:p>
    <w:p>
      <w:pPr>
        <w:pStyle w:val="BodyText"/>
      </w:pPr>
      <w:r>
        <w:t xml:space="preserve">Automated appraisal has developed along complementary paths: exposing evidence for inspection, structuring the assessment process and evaluating judgments against human references. Systems have paired automated judgments with extracted evidence and, in interactive RoB 2 workflows, reviewer edits.[8–9] Expert-reference evaluation, structured RoB 2 prompts and answer-derived ratings have also been studied,[10–11] as have same-model comparisons of direct and constrained prompts for the earlier instrument.[12] These precedents shift the question from whether AI can produce a plausible label to what a complete workflow makes reviewable and how its judgments perform under a defined comparison.</w:t>
      </w:r>
    </w:p>
    <w:p>
      <w:pPr>
        <w:pStyle w:val="BodyText"/>
      </w:pPr>
      <w:r>
        <w:t xml:space="preserve">Procedural checks and judgment quality answer different parts of that question. Software can faithfully apply a decision rule to an inappropriate answer; a quotation can occur in a source without supporting the interpretation attached to it. Similarly, agreement with published labels may differ from agreement with fresh expert assessments. Prior studies have examined domain agreement, repeated assessments and reference dependence,[10–11,13–18] but differences in inputs, datasets and references preclude ranking systems by their reported percentages. A paired, same-model evaluation can estimate differences in agreement within one benchmark while keeping procedural properties separate.</w:t>
      </w:r>
    </w:p>
    <w:bookmarkEnd w:id="16"/>
    <w:bookmarkStart w:id="17" w:name="objective-1"/>
    <w:p>
      <w:bookmarkStart w:id="80" w:name="loc_15"/>
      <w:pPr>
        <w:pStyle w:val="Heading1"/>
      </w:pPr>
      <w:r>
        <w:rPr>
          <w:b/>
        </w:rPr>
        <w:t>OBJECTIVE</w:t>
      </w:r>
      <w:bookmarkEnd w:id="80"/>
    </w:p>
    <w:p>
      <w:pPr>
        <w:pStyle w:val="FirstParagraph"/>
      </w:pPr>
      <w:r>
        <w:t xml:space="preserve">We asked what assessment pathway ARBITER makes inspectable and how its complete Sonnet workflow compares with the same model given a minimal prompt and identical supplied trial documents. We evaluated conditional expert preference, agreement with each independent expert across all domains, rule conformance, evidence-record integrity and computational burden.</w:t>
      </w:r>
    </w:p>
    <w:bookmarkEnd w:id="17"/>
    <w:bookmarkStart w:id="25" w:name="materials-and-methods-1"/>
    <w:p>
      <w:bookmarkStart w:id="82" w:name="loc_17"/>
      <w:pPr>
        <w:pStyle w:val="Heading1"/>
      </w:pPr>
      <w:r>
        <w:rPr>
          <w:b/>
        </w:rPr>
        <w:t>MATERIALS AND METHODS</w:t>
      </w:r>
      <w:bookmarkEnd w:id="82"/>
    </w:p>
    <w:bookmarkStart w:id="18" w:name="system-design"/>
    <w:p>
      <w:bookmarkStart w:id="83" w:name="loc_18"/>
      <w:pPr>
        <w:pStyle w:val="Heading2"/>
      </w:pPr>
      <w:r>
        <w:rPr>
          <w:b/>
        </w:rPr>
        <w:t>System design</w:t>
      </w:r>
      <w:bookmarkEnd w:id="83"/>
    </w:p>
    <w:p>
      <w:pPr>
        <w:pStyle w:val="FirstParagraph"/>
      </w:pPr>
      <w:r>
        <w:t xml:space="preserve">ARBITER assigns evidence interpretation to the AI model and reproducible checks to software (Figure 1). The model identifies the trial result and answers RoB 2 signalling questions. The software retains content-hashed sources, extracts quoted spans, binds evidence records to source locations and applies the official decision algorithms. A reviewer approves the proposed result before domain assessment and can inspect the resulting answers and cited evidence. The exported HTML report and audit file preserve this pathway for independent inspection.</w:t>
      </w:r>
    </w:p>
    <w:p>
      <w:pPr>
        <w:pStyle w:val="BodyText"/>
      </w:pPr>
      <w:r>
        <w:t xml:space="preserve">Every required answer must have an evidence basis. Text quotations are server-extracted spans; image regions are rendered and linked to source pages. Model-written image descriptions are not independently checked against image content. The software computes a proposed rating and permits an override only with a recorded rationale and evidence. Proposed and adopted ratings were checked separately. These safeguards make interpretation traceable without establishing that it is defensible.</w:t>
      </w:r>
    </w:p>
    <w:p>
      <w:pPr>
        <w:pStyle w:val="BodyText"/>
      </w:pPr>
      <w:r>
        <w:t xml:space="preserve">The AVATAR assessment illustrates the pathway for all-cause death after early surgery versus watchful waiting in asymptomatic severe aortic stenosis (Figure 2; complete trace in the supplement). The case was selected to explain the workflow, not to represent typical performance. Its stored documents did not establish a dated analysis plan for the assessed result.</w:t>
      </w:r>
    </w:p>
    <w:bookmarkEnd w:id="18"/>
    <w:bookmarkStart w:id="21" w:name="benchmark-and-assessment-arms"/>
    <w:p>
      <w:bookmarkStart w:id="87" w:name="loc_22"/>
      <w:pPr>
        <w:pStyle w:val="Heading2"/>
      </w:pPr>
      <w:r>
        <w:rPr>
          <w:b/>
        </w:rPr>
        <w:t>Benchmark and assessment arms</w:t>
      </w:r>
      <w:bookmarkEnd w:id="87"/>
    </w:p>
    <w:p>
      <w:pPr>
        <w:pStyle w:val="FirstParagraph"/>
      </w:pPr>
      <w:r>
        <w:t xml:space="preserve">The source set contained 105 trials from 16 published meta-analyses. Selection proceeded through each review’s table order, taking up to seven available eligible trials and replacing unavailable reports with the next eligible trial in that order. Excluding three unsupported designs left 102 trials. The supplementary benchmark table documents the reviews, specialties and source availability. Prompts targeted the result labeled by the review, using its outcome, time point, contrast and printed result, rather than automatically selecting the trial’s primary outcome. Published labels could cover broader, inferred or different targets. Published-reference comparisons retained the full domain cohort; target uncertainty was considered qualitatively.</w:t>
      </w:r>
    </w:p>
    <w:p>
      <w:pPr>
        <w:pStyle w:val="BodyText"/>
      </w:pPr>
      <w:r>
        <w:t xml:space="preserve">Both arms received identical underlying trial evidence: articles, supplements, registry projections, protocols and statistical analysis plans available in the captured input set. Unassisted received copies of the registry projections and acquired documents from the ARBITER run; nothing was fetched anew. Availability varied by trial. The supplied De Waal registry record concerned another trial and did not establish information about the assessed result.</w:t>
      </w:r>
    </w:p>
    <w:p>
      <w:pPr>
        <w:pStyle w:val="BodyText"/>
      </w:pPr>
      <w:r>
        <w:t xml:space="preserve">The arms differed in how they used this evidence. Unassisted received the assessment task sentence and one fixed output-format sentence, without RoB 2 guidance. It could read and search local documents but had no ARBITER service, assessment skill or web access. ARBITER additionally received the assessment skill and its guidance. Input parity thus concerns trial evidence, not instructions or processing. The contrast evaluates the complete workflow and does not isolate guidance, software or computation. It also does not represent the structured-prompt comparators used in several prior studies.[10–11,14–15]</w:t>
      </w:r>
    </w:p>
    <w:p>
      <w:pPr>
        <w:pStyle w:val="BodyText"/>
      </w:pPr>
      <w:r>
        <w:t xml:space="preserve">Both arms used</w:t>
      </w:r>
      <w:r>
        <w:t xml:space="preserve"> </w:t>
      </w:r>
      <w:r>
        <w:rPr>
          <w:rStyle w:val="VerbatimChar"/>
        </w:rPr>
        <w:t xml:space="preserve">claude-sonnet-5-5</w:t>
      </w:r>
      <w:r>
        <w:t xml:space="preserve">, medium effort, in Claude Code 2.1.278 with isolated settings, connectors and memory disabled. ARBITER ran on 12 October 2026 and Unassisted on 14 October 2026, once per trial per arm. The installable source is available from the</w:t>
      </w:r>
      <w:r>
        <w:t xml:space="preserve"> </w:t>
      </w:r>
      <w:hyperlink r:id="rId19">
        <w:r>
          <w:rPr>
            <w:rStyle w:val="Hyperlink"/>
          </w:rPr>
          <w:t xml:space="preserve">public repository</w:t>
        </w:r>
      </w:hyperlink>
      <w:r>
        <w:t xml:space="preserve">; the evaluated version is ARBITER 1.0.0, public commit</w:t>
      </w:r>
      <w:r>
        <w:t xml:space="preserve"> </w:t>
      </w:r>
      <w:hyperlink r:id="rId20">
        <w:r>
          <w:rPr>
            <w:rStyle w:val="Hyperlink"/>
          </w:rPr>
          <w:t xml:space="preserve">2f549ae</w:t>
        </w:r>
      </w:hyperlink>
      <w:r>
        <w:t xml:space="preserve">. The ARBITER harness approved the proposed result unchanged. The protocol allowed “Continue.” at most twice per phase without coaching. eMethods reproduces both prompt templates, the ARBITER skill invocation, the Unassisted format instruction and a filled example.</w:t>
      </w:r>
    </w:p>
    <w:bookmarkEnd w:id="21"/>
    <w:bookmarkStart w:id="22" w:name="independent-expert-references"/>
    <w:p>
      <w:bookmarkStart w:id="92" w:name="loc_27"/>
      <w:pPr>
        <w:pStyle w:val="Heading2"/>
      </w:pPr>
      <w:r>
        <w:rPr>
          <w:b/>
        </w:rPr>
        <w:t>Independent expert references</w:t>
      </w:r>
      <w:bookmarkEnd w:id="92"/>
    </w:p>
    <w:p>
      <w:pPr>
        <w:pStyle w:val="FirstParagraph"/>
      </w:pPr>
      <w:r>
        <w:t xml:space="preserve">Two blinded experts assessed all 102 trials across the five domains. Each trial–domain pair constituted a cell. Each expert independently recorded signalling answers and a domain rating, then froze both before seeing any offered label. No AI was used for these judgments. Experts could consult sources beyond the arms’ inputs. [Expert qualifications, experience and training].</w:t>
      </w:r>
    </w:p>
    <w:p>
      <w:pPr>
        <w:pStyle w:val="BodyText"/>
      </w:pPr>
      <w:r>
        <w:t xml:space="preserve">Each expert then saw the published, Unassisted and ARBITER labels in an order randomized for each cell, without source identities or rationales, and chose the most defensible label. Subsequently, each supplied a revised rating, which could differ from all offered labels, and recorded answer retention or change. Independent ratings, forced choices and revised ratings were analyzed separately. Blinded adjudication of discordant data-extraction items supplied a design precedent.[19] The assessment form and procedures are in eMethods.</w:t>
      </w:r>
    </w:p>
    <w:bookmarkEnd w:id="22"/>
    <w:bookmarkStart w:id="23" w:name="outcomes"/>
    <w:p>
      <w:bookmarkStart w:id="95" w:name="loc_30"/>
      <w:pPr>
        <w:pStyle w:val="Heading2"/>
      </w:pPr>
      <w:r>
        <w:rPr>
          <w:b/>
        </w:rPr>
        <w:t>Outcomes</w:t>
      </w:r>
      <w:bookmarkEnd w:id="95"/>
    </w:p>
    <w:p>
      <w:pPr>
        <w:pStyle w:val="FirstParagraph"/>
      </w:pPr>
      <w:r>
        <w:t xml:space="preserve">The formal primary endpoint was the proportion of agreed forced choices favoring ARBITER among cells where the arms disagreed. The denominator included only cells in which both experts chose the same label; the numerator included those where that label matched ARBITER. Credit followed label equality, so every source matching the chosen label received credit; neither arm received credit if neither matched. Cells with identical labels from all sources provided no preference information. Sensitivities used each expert’s choices across all arm disagreements and counted split choices as ARBITER losses without assigning Unassisted wins.</w:t>
      </w:r>
    </w:p>
    <w:p>
      <w:pPr>
        <w:pStyle w:val="BodyText"/>
      </w:pPr>
      <w:r>
        <w:t xml:space="preserve">Secondary agreement outcomes compared each source with each expert’s independent ratings across all 510 cells. Exact agreement and paired percentage-point differences quantified agreement magnitude; linearly weighted Cohen’s κ supplied ordinal context. Published labels were another source, not an expert standard. Supporting analyses included expert-to-expert agreement, unweighted κ, confusion matrices, expert means and restriction to cells where the independent experts agreed.</w:t>
      </w:r>
    </w:p>
    <w:p>
      <w:pPr>
        <w:pStyle w:val="BodyText"/>
      </w:pPr>
      <w:r>
        <w:t xml:space="preserve">Signalling-answer agreement distinguished five levels: yes, probably yes, no, probably no and no information. Collapsed coding combined definite and probable affirmative answers and combined definite and probable negative answers, leaving no information separate. Explicit answers were matched by trial, domain, question and component. Missing, inactive, not applicable, unmatched and unresolved answers were excluded; paired contrasts required evaluable answers in both arms. Published-label comparisons used weighted κ, exact agreement, sensitivity for Some concerns or High, and specificity, with Gwet’s AC2 supplementary. An All-Low rule described label prevalence; its κ was suppressed because predictions lacked variance. Missing predictions counted as disagreement.</w:t>
      </w:r>
    </w:p>
    <w:p>
      <w:pPr>
        <w:pStyle w:val="BodyText"/>
      </w:pPr>
      <w:r>
        <w:t xml:space="preserve">Process outcomes assessed rule conformance and evidence-record integrity. We applied the official RoB 2 algorithms to each arm’s own answers, using effect of assignment for deviations from intended interventions.[1] The five domains concern randomisation, deviations from intended interventions, missing outcome data, outcome measurement and selection of the reported result. Contradictory ratings or skipped required questions constituted rule breaks; absent ratings and answers were unevaluable. A sensitivity recursively resolved invalid required answers as negative or no information. Overall checks permitted escalation when multiple domains had Some concerns. Evidence coverage counted required active answers citing a passage or image. Quotation and bundle audits checked source binding and structural integrity, not whether the evidence justified the answer.</w:t>
      </w:r>
    </w:p>
    <w:p>
      <w:pPr>
        <w:pStyle w:val="BodyText"/>
      </w:pPr>
      <w:r>
        <w:t xml:space="preserve">Computational outcomes were runtime, summed across wall-clock turn durations, and API list-price equivalents reconstructed from recorded token components and frozen provider rates. The runs used a subscription; dollar estimates were not expenditure. eMethods details cache and side-call handling.</w:t>
      </w:r>
    </w:p>
    <w:p>
      <w:pPr>
        <w:pStyle w:val="BodyText"/>
      </w:pPr>
      <w:r>
        <w:t xml:space="preserve">Exploratory analyses examined derived Overall ratings, severity and direction of disagreement, and rules-only recomputation. Derived Overall took the worst independent domain rating without optional escalation for multiple Some concerns. Expert-reference analyses used all 102 trials; Published Overall comparisons used only the 81 trials with observed labels, excluding 21 without labels. Directional analyses partitioned ratings stricter or more lenient than Published into expert matches to the arm, Published or neither. Rules-only recomputation replaced Unassisted ratings that contradicted their answers while retaining invalid paths and missing ratings. Original disagreement populations remained fixed; new ties could credit both arms. Binary expert comparisons and severity strata were exploratory. Forced choices across all disputed cells and revised ratings were descriptive because offered labels could anchor responses.</w:t>
      </w:r>
    </w:p>
    <w:bookmarkEnd w:id="23"/>
    <w:bookmarkStart w:id="24" w:name="statistical-analysis"/>
    <w:p>
      <w:bookmarkStart w:id="102" w:name="loc_37"/>
      <w:pPr>
        <w:pStyle w:val="Heading2"/>
      </w:pPr>
      <w:r>
        <w:rPr>
          <w:b/>
        </w:rPr>
        <w:t>Statistical analysis</w:t>
      </w:r>
      <w:bookmarkEnd w:id="102"/>
    </w:p>
    <w:p>
      <w:pPr>
        <w:pStyle w:val="FirstParagraph"/>
      </w:pPr>
      <w:r>
        <w:t xml:space="preserve">We used 10,000 stratified trial-cluster bootstrap resamples, seed 20261018. Each resample retained the trial count within each of the 16 fixed reviews and carried paired arms and all domain cells together. Paired contrasts shared resampling weights. Percentile 95% CIs quantify trial variation conditional on these reviews, two experts and observed model runs; they do not quantify variation across new reviews, experts or repeated runs. Expert means averaged expert-specific estimates within each shared resample. No</w:t>
      </w:r>
      <w:r>
        <w:t xml:space="preserve"> </w:t>
      </w:r>
      <w:r>
        <w:rPr>
          <w:i/>
          <w:iCs/>
        </w:rPr>
        <w:t xml:space="preserve">P</w:t>
      </w:r>
      <w:r>
        <w:t xml:space="preserve"> </w:t>
      </w:r>
      <w:r>
        <w:t xml:space="preserve">values or multiplicity adjustments were used. Only the formal primary endpoint was confirmatory; other outcomes were secondary or exploratory as indicated. Reporting follows TRIPOD-LLM and GRRAS, with an accompanying item map and author-completion fields.[20–21]</w:t>
      </w:r>
    </w:p>
    <w:bookmarkEnd w:id="24"/>
    <w:bookmarkEnd w:id="25"/>
    <w:bookmarkStart w:id="26" w:name="results-1"/>
    <w:p>
      <w:bookmarkStart w:id="104" w:name="loc_39"/>
      <w:pPr>
        <w:pStyle w:val="Heading1"/>
      </w:pPr>
      <w:r>
        <w:rPr>
          <w:b/>
        </w:rPr>
        <w:t>RESULTS</w:t>
      </w:r>
      <w:bookmarkEnd w:id="104"/>
    </w:p>
    <w:p>
      <w:pPr>
        <w:pStyle w:val="FirstParagraph"/>
        <w:keepNext w:val="0"/>
        <w:keepLines/>
      </w:pPr>
      <w:r>
        <w:t xml:space="preserve">The 102 included trials yielded 510 trial-domain cells, all independently assessed by both experts (Figure 3; Table 1). Published labels were Low in 427/510 cells (83.7%), compared with 277/510 (54.3%) for Expert 1 and 346/510 (67.8%) for Expert 2. An all-Low rule matched 83.7% of Published domain labels. The experts agreed in 388/510 cells (76.1%; linearly weighted κ, 0.59).</w:t>
      </w:r>
    </w:p>
    <w:p>
      <w:bookmarkStart w:id="106" w:name="loc_41"/>
      <w:pPr>
        <w:pStyle w:val="Heading2"/>
        <w:keepNext/>
        <w:pageBreakBefore w:val="0"/>
        <w:spacing w:line="240" w:lineRule="auto" w:after="80"/>
      </w:pPr>
      <w:r>
        <w:rPr>
          <w:b/>
        </w:rPr>
        <w:t>Table 1. Benchmark and reference context</w:t>
      </w:r>
      <w:bookmarkEnd w:id="106"/>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354"/>
        <w:gridCol w:w="6510"/>
      </w:tblGrid>
      <w:tr>
        <w:trPr>
          <w:cantSplit/>
          <w:tblHeader/>
        </w:trPr>
        <w:tc>
          <w:tcPr>
            <w:tcW w:type="dxa" w:w="3354"/>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start"/>
            </w:pPr>
            <w:r>
              <w:rPr>
                <w:rFonts w:ascii="Arial" w:hAnsi="Arial"/>
                <w:sz w:val="20"/>
                <w:b/>
              </w:rPr>
              <w:t xml:space="default">Characteristic</w:t>
            </w:r>
          </w:p>
        </w:tc>
        <w:tc>
          <w:tcPr>
            <w:tcW w:type="dxa" w:w="6510"/>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start"/>
            </w:pPr>
            <w:r>
              <w:rPr>
                <w:rFonts w:ascii="Arial" w:hAnsi="Arial"/>
                <w:sz w:val="20"/>
                <w:b/>
              </w:rPr>
              <w:t xml:space="default">Value</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102</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Meta-analyses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Specialties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15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 with protocol</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26/102 (25.5%)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 with registry</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73/102 (71.6%)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 with SAP</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22/102 (21.6%)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 with supplement</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69/102 (67.6%)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D1–D5: Published</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Low: 427/510 (83.7%); Some concerns: 69/510 (13.5%); High: 14/510 (2.7%)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D1–D5: Expert 1</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Low: 277/510 (54.3%); Some concerns: 163/510 (32.0%); High: 70/510 (13.7%)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D1–D5: Expert 2</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Low: 346/510 (67.8%); Some concerns: 131/510 (25.7%); High: 33/510 (6.5%)</w:t>
            </w:r>
          </w:p>
        </w:tc>
      </w:tr>
      <w:tr>
        <w:trPr>
          <w:cantSplit/>
        </w:trPr>
        <w:tc>
          <w:tcPr>
            <w:gridSpan w:val="2"/>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keepNext w:val="0"/>
              <w:spacing w:before="0" w:after="0" w:line="240" w:lineRule="auto"/>
            </w:pPr>
            <w:r>
              <w:rPr>
                <w:rFonts w:ascii="Arial" w:hAnsi="Arial"/>
                <w:sz w:val="20"/>
              </w:rPr>
              <w:t xml:space="default">Reference categories are Low, Some concerns and High; each reference contributes 510 domain cells. Document counts are trials with each role recorded in the source inventory among 102 trials; roles can overlap. SAP, statistical analysis plan. Detailed distributions for all sources and derived Overall appear in the supplement.</w:t>
            </w:r>
          </w:p>
        </w:tc>
      </w:tr>
    </w:tbl>
    <w:p>
      <w:pPr>
        <w:pStyle w:val="BodyText"/>
        <w:keepNext w:val="0"/>
        <w:keepLines/>
      </w:pPr>
      <w:r>
        <w:t xml:space="preserve">The formal primary endpoint favored ARBITER in 53/60 agreed choices (88%; 95% CI, 80–96%), versus 7/60 (12%) for Unassisted (Table 2). These came from 80 cells where the arms disagreed; the experts split in 20. Expert-specific preference shares were 63/80 (79%) and 61/80 (76%). Counting every split choice against ARBITER gave 53/80 (66%).</w:t>
      </w:r>
    </w:p>
    <w:p>
      <w:bookmarkStart w:id="108" w:name="loc_43"/>
      <w:pPr>
        <w:pStyle w:val="Heading2"/>
        <w:keepNext/>
        <w:pageBreakBefore w:val="0"/>
        <w:spacing w:line="240" w:lineRule="auto" w:after="80"/>
      </w:pPr>
      <w:r>
        <w:rPr>
          <w:b/>
        </w:rPr>
        <w:t>Table 2. Conditional primary endpoint and core sensitivities</w:t>
      </w:r>
      <w:bookmarkEnd w:id="108"/>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354"/>
        <w:gridCol w:w="6510"/>
      </w:tblGrid>
      <w:tr>
        <w:trPr>
          <w:cantSplit/>
          <w:tblHeader/>
        </w:trPr>
        <w:tc>
          <w:tcPr>
            <w:tcW w:type="dxa" w:w="3354"/>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start"/>
            </w:pPr>
            <w:r>
              <w:rPr>
                <w:rFonts w:ascii="Arial" w:hAnsi="Arial"/>
                <w:sz w:val="20"/>
                <w:b/>
              </w:rPr>
              <w:t xml:space="default">Population</w:t>
            </w:r>
          </w:p>
        </w:tc>
        <w:tc>
          <w:tcPr>
            <w:tcW w:type="dxa" w:w="6510"/>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end"/>
            </w:pPr>
            <w:r>
              <w:rPr>
                <w:rFonts w:ascii="Arial" w:hAnsi="Arial"/>
                <w:sz w:val="20"/>
                <w:b/>
              </w:rPr>
              <w:t xml:space="default">ARBITER, No./total (%) (95% CI)</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Agreed choices (formal primary)</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53/60 (88%; 80–96)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Expert 1</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63/80 (79%; 70–87)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Expert 2</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61/80 (76%; 68–85)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All splits counted against ARBITER</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53/80 (66%; 58–75)</w:t>
            </w:r>
          </w:p>
        </w:tc>
      </w:tr>
      <w:tr>
        <w:trPr>
          <w:cantSplit/>
        </w:trPr>
        <w:tc>
          <w:tcPr>
            <w:gridSpan w:val="2"/>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keepNext w:val="0"/>
              <w:spacing w:before="0" w:after="0" w:line="240" w:lineRule="auto"/>
            </w:pPr>
            <w:r>
              <w:rPr>
                <w:rFonts w:ascii="Arial" w:hAnsi="Arial"/>
                <w:sz w:val="20"/>
              </w:rPr>
              <w:t xml:space="default">The formal primary endpoint conditions on 80 arm-discordant cells and the 60 for which the experts made an agreed choice; 20 choices split. Expert-specific sensitivities use all 80. The final row counts all 20 splits against ARBITER by assumption, without assigning Unassisted wins. Expert 1 chose neither arm in 4/80 cells; this is distinct from the split-loss assumption. CI, 95% confidence interval; 10,000 percentile bootstrap replicates, trials resampled within meta-analysis; seed 20261018.</w:t>
            </w:r>
          </w:p>
        </w:tc>
      </w:tr>
    </w:tbl>
    <w:p>
      <w:pPr>
        <w:pStyle w:val="BodyText"/>
      </w:pPr>
      <w:r>
        <w:t xml:space="preserve">ARBITER had greater agreement with each independent expert across the full cohort (Figure 4). It matched Expert 1 in 371/510 cells (72.7%) versus 332/510 (65.1%) for Unassisted, a paired gain of 7.6 percentage points (95% CI, 5.1–10.2). Against Expert 2, agreement was 433/510 (84.9%) versus 400/510 (78.4%), a gain of 6.5 points (3.5–9.4). Weighted κ values were 0.51 and 0.69 for ARBITER, compared with 0.35 and 0.53 for Unassisted.</w:t>
      </w:r>
    </w:p>
    <w:p>
      <w:pPr>
        <w:pStyle w:val="BodyText"/>
      </w:pPr>
      <w:r>
        <w:t xml:space="preserve">The domain profiles showed both gains and disagreement. Selection of the reported result (D5) had the largest observed gains: 19.6 points (95% CI, 11.8–27.5) and 11.8 (2.9–20.6) against Experts 1 and 2. For missing outcome data (D3), ARBITER matched 43/102 ratings from Expert 1 (42.2%) and 80/102 from Expert 2 (78.4%); the experts agreed in 54/102 cells. Published labels matched the experts in 301/510 and 362/510 cells. Against Published across all 510 cells, ARBITER matched 386/510 (75.7%) and Unassisted 395/510 (77.5%), a paired difference of −1.8 points (95% CI, −5.1 to 1.6).</w:t>
      </w:r>
    </w:p>
    <w:p>
      <w:pPr>
        <w:pStyle w:val="BodyText"/>
      </w:pPr>
      <w:r>
        <w:t xml:space="preserve">Signalling-answer comparisons depended on coding (Figure 5). In D3 against Expert 1, the five-level paired difference was −10.3 points (95% CI, −17.2 to −3.2), whereas the collapsed difference was +8.5 (3.5–13.7), both using 165 paired components. In D5, collapsed gains were +11.3 points against Expert 1 and +3.7 (−0.3 to 7.4) against Expert 2. The supplement reports complete question-level results and source-specific absolute rates. Exploratory rules-only recomputation changed 26 Unassisted labels while retaining their recorded answers, invalid paths and missingness.</w:t>
      </w:r>
    </w:p>
    <w:p>
      <w:pPr>
        <w:pStyle w:val="BodyText"/>
        <w:keepNext w:val="0"/>
        <w:keepLines/>
      </w:pPr>
      <w:r>
        <w:t xml:space="preserve">ARBITER’s outputs conformed to the executable rules (Table 3). All 510 domain outputs reproduced from the algorithms, with no recorded domain overrides. Unassisted had 65/509 evaluable rule breaks: 26 contradictory ratings and 39 required-question omissions; one cell was unevaluable. All 1538 active required answers cited a passage or image. All 1407/1407 text spans and 14 image records met source-binding checks, and all 102 bundles passed structural verification. These audits counted different objects and did not assess semantic evidence support.</w:t>
      </w:r>
    </w:p>
    <w:p>
      <w:bookmarkStart w:id="113" w:name="loc_48"/>
      <w:pPr>
        <w:pStyle w:val="Heading2"/>
        <w:keepNext/>
        <w:pageBreakBefore w:val="0"/>
        <w:spacing w:line="240" w:lineRule="auto" w:after="80"/>
      </w:pPr>
      <w:r>
        <w:rPr>
          <w:b/>
        </w:rPr>
        <w:t>Table 3. Process checks and computational resources</w:t>
      </w:r>
      <w:bookmarkEnd w:id="113"/>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817"/>
        <w:gridCol w:w="1587"/>
        <w:gridCol w:w="2098"/>
        <w:gridCol w:w="2362"/>
      </w:tblGrid>
      <w:tr>
        <w:trPr>
          <w:cantSplit/>
          <w:tblHeader/>
        </w:trPr>
        <w:tc>
          <w:tcPr>
            <w:tcW w:type="dxa" w:w="3817"/>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start"/>
            </w:pPr>
            <w:r>
              <w:rPr>
                <w:rFonts w:ascii="Arial" w:hAnsi="Arial"/>
                <w:sz w:val="20"/>
                <w:b/>
              </w:rPr>
              <w:t xml:space="default">Measure</w:t>
            </w:r>
          </w:p>
        </w:tc>
        <w:tc>
          <w:tcPr>
            <w:tcW w:type="dxa" w:w="1587"/>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end"/>
            </w:pPr>
            <w:r>
              <w:rPr>
                <w:rFonts w:ascii="Arial" w:hAnsi="Arial"/>
                <w:sz w:val="20"/>
                <w:b/>
              </w:rPr>
              <w:t xml:space="default">ARBITER</w:t>
            </w:r>
          </w:p>
        </w:tc>
        <w:tc>
          <w:tcPr>
            <w:tcW w:type="dxa" w:w="2098"/>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end"/>
            </w:pPr>
            <w:r>
              <w:rPr>
                <w:rFonts w:ascii="Arial" w:hAnsi="Arial"/>
                <w:sz w:val="20"/>
                <w:b/>
              </w:rPr>
              <w:t xml:space="default">Unassisted</w:t>
            </w:r>
          </w:p>
        </w:tc>
        <w:tc>
          <w:tcPr>
            <w:tcW w:type="dxa" w:w="2362"/>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end"/>
            </w:pPr>
            <w:r>
              <w:rPr>
                <w:rFonts w:ascii="Arial" w:hAnsi="Arial"/>
                <w:sz w:val="20"/>
                <w:b/>
              </w:rPr>
              <w:t xml:space="default">Paired mean difference (95% CI)</w:t>
            </w:r>
          </w:p>
        </w:tc>
      </w:tr>
      <w:tr>
        <w:trPr>
          <w:cantSplit/>
        </w:trPr>
        <w:tc>
          <w:tcPr>
            <w:gridSpan w:val="4"/>
            <w:tcW w:type="dxa" w:w="9864"/>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keepNext/>
              <w:spacing w:before="0" w:after="0" w:line="240" w:lineRule="auto"/>
            </w:pPr>
            <w:r>
              <w:rPr>
                <w:rFonts w:ascii="Arial" w:hAnsi="Arial"/>
                <w:sz w:val="20"/>
                <w:b/>
              </w:rPr>
              <w:t xml:space="default">A. Rule conformance</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Domain outputs reproduced from proposals</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510/510 (100.0%)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Rating contradicts its own answers</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 by design</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26/509 (5.1%; 3.3–6.9)</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Required question skipped</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 by design</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39/509 (7.7%; 5.7–10.0)</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Any rule break</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 by design</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65/509 (12.8%; 10.0–15.6)</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gridSpan w:val="4"/>
            <w:tcW w:type="dxa" w:w="9864"/>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keepNext/>
              <w:spacing w:before="0" w:after="0" w:line="240" w:lineRule="auto"/>
            </w:pPr>
            <w:r>
              <w:rPr>
                <w:rFonts w:ascii="Arial" w:hAnsi="Arial"/>
                <w:sz w:val="20"/>
                <w:b/>
              </w:rPr>
              <w:t xml:space="default">B. Structural record checks</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Answers citing ≥1 passage or image</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1,538/1,538 (100.0%)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Quoted text linked to its source</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1,407/1,407 (100.0%)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Image regions linked to their page</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14/14 (100%)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Audit file passes the independent verifier</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102/102 (100.0%)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gridSpan w:val="4"/>
            <w:tcW w:type="dxa" w:w="9864"/>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keepNext/>
              <w:spacing w:before="0" w:after="0" w:line="240" w:lineRule="auto"/>
            </w:pPr>
            <w:r>
              <w:rPr>
                <w:rFonts w:ascii="Arial" w:hAnsi="Arial"/>
                <w:sz w:val="20"/>
                <w:b/>
              </w:rPr>
              <w:t xml:space="default">C. Computational resources</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Runtime (minutes/trial), median (IQR)</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7.6 (6.1–10.5)</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0.5 (0.4–0.5)</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11.0 (8.4–14.1)</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API list-price equivalent (US$/trial), median (IQR)</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3.78 (3.46–4.10)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0.09 (0.07–0.13)</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3.68 (3.61–3.75)</w:t>
            </w:r>
          </w:p>
        </w:tc>
      </w:tr>
      <w:tr>
        <w:trPr>
          <w:cantSplit/>
        </w:trPr>
        <w:tc>
          <w:tcPr>
            <w:gridSpan w:val="4"/>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keepNext w:val="0"/>
              <w:spacing w:before="0" w:after="0" w:line="240" w:lineRule="auto"/>
            </w:pPr>
            <w:r>
              <w:rPr>
                <w:rFonts w:ascii="Arial" w:hAnsi="Arial"/>
                <w:sz w:val="20"/>
              </w:rPr>
              <w:t xml:space="default">Unassisted rule-break cells show No./total (%; 95% CI); CI bounds are percentages. Domain rules use evaluable ratings (ARBITER 510; Unassisted 509); one Unassisted cell is unevaluable. Evidence denominators count active answers or distinct evidence records as indicated; verifier denominator is 102 bundles. ARBITER has no recorded domain overrides; one Overall escalation is permitted. Evidence checks establish quotation occurrence and structural binding, without assessing answer support. Runtime and API list-price equivalents use 102 paired trials; source summaries are median (IQR), contrasts are paired mean differences. Cost is a frozen-rate equivalent, not expenditure. — means not applicable; Not available means not measured. CI, 95% confidence interval; 10,000 percentile bootstrap replicates, trials resampled within meta-analysis; seed 20261018.</w:t>
            </w:r>
          </w:p>
        </w:tc>
      </w:tr>
    </w:tbl>
    <w:p>
      <w:pPr>
        <w:pStyle w:val="BodyText"/>
      </w:pPr>
      <w:r>
        <w:t xml:space="preserve">ARBITER required more computation. Median (IQR) runtime was 7.6 (6.1–10.5) versus 0.5 (0.4–0.5) minutes per trial; the paired mean difference was 11.0 minutes (95% CI, 8.4–14.1). Median (IQR) API list-price equivalents were US$3.78 (3.46–4.10) versus US$0.09 (0.07–0.13), with a paired mean difference of US$3.68 (3.61–3.75).</w:t>
      </w:r>
    </w:p>
    <w:bookmarkEnd w:id="26"/>
    <w:bookmarkStart w:id="28" w:name="discussion-1"/>
    <w:p>
      <w:bookmarkStart w:id="115" w:name="loc_50"/>
      <w:pPr>
        <w:pStyle w:val="Heading1"/>
      </w:pPr>
      <w:r>
        <w:rPr>
          <w:b/>
        </w:rPr>
        <w:t>DISCUSSION</w:t>
      </w:r>
      <w:bookmarkEnd w:id="115"/>
    </w:p>
    <w:p>
      <w:pPr>
        <w:pStyle w:val="FirstParagraph"/>
      </w:pPr>
      <w:r>
        <w:t xml:space="preserve">ARBITER addresses two requirements of AI-assisted appraisal: preserving the basis of a judgment and evaluating the judgment itself. Its complete Sonnet workflow produced inspectable, rule-conformant records and agreed more often with each independent expert than the same model given a minimal prompt. The formal primary preference result favored ARBITER among agreed choices on arm disagreements; the secondary all-cell comparisons showed the extent of agreement beyond that selected population.</w:t>
      </w:r>
    </w:p>
    <w:p>
      <w:pPr>
        <w:pStyle w:val="BodyText"/>
      </w:pPr>
      <w:r>
        <w:t xml:space="preserve">The record provides a concrete way to interrogate a judgment. For example, a reviewer examining selection of the reported result can move from the domain rating to the signalling answers, inspect their cited source locations and ask whether the documents establish a dated analysis plan for that result. The illustrative AVATAR trace exposes that evidentiary boundary rather than hiding it behind a final label. Source binding makes the cited material retrievable, and executable rules make the answer-to-rating transition reproducible. Neither establishes that the model selected the relevant evidence or interpreted it appropriately. Image descriptions remain model-written, and recorded overrides preserve departures for review. This distinction between citation coverage and evidentiary support also arises in evaluations of generative search.[22]</w:t>
      </w:r>
    </w:p>
    <w:p>
      <w:pPr>
        <w:pStyle w:val="BodyText"/>
      </w:pPr>
      <w:r>
        <w:t xml:space="preserve">ARBITER builds on earlier evidence-assisted assessment tools. Evidence display, interactive RoB 2 review, structured prompting and answer-derived judgments already have precedents.[8–12] ARBITER contributes an available implementation that retains sources, evidence, answers and decisions alongside a paired evaluation of its complete workflow. Its contrast includes guidance, tool use and additional processing, so the observed advantage cannot be assigned to the rule engine or another individual component. Nor does comparison with a minimal prompt establish superiority over other structured systems. Studies of human–AI collaboration address how assistance changes reviewer work,[23] a separate question from this offline benchmark. A recent preprint describes RoB2-Evaluator, which uses fixed RoB 2 guidance and locked instructions and was evaluated against independent reviewers’ consensus ratings.[24] That work further supports positioning ARBITER through its specific implementation and evaluation, rather than a claim of priority for constrained assessment.</w:t>
      </w:r>
    </w:p>
    <w:p>
      <w:pPr>
        <w:pStyle w:val="BodyText"/>
      </w:pPr>
      <w:r>
        <w:t xml:space="preserve">The domain findings sharpen the scope of the agreement advantage. D5 had the largest observed gains, but D3 showed substantially different absolute agreement against the two experts. The negative five-level D3 signalling contrast against Expert 1 became positive when probable and definite answers were combined. Collapsed agreement therefore captures a different aspect of the answers, rather than resolving the unfavorable five-level result. D5’s smaller collapsed gain against Expert 2 further limits a uniform explanation. These diagnostics and rules-only recomputation describe patterns and consistency; neither identifies a causal component effect. Separate expert estimates preserve the judgment variability familiar from RoB 2 reliability studies.[2–3]</w:t>
      </w:r>
    </w:p>
    <w:p>
      <w:pPr>
        <w:pStyle w:val="BodyText"/>
      </w:pPr>
      <w:r>
        <w:t xml:space="preserve">The Published-reference findings also constrain interpretation. Published labels were predominantly Low, and the paired agreement difference was small and compatible with either direction, despite the positive differences against both experts. Assessment targets and judgment thresholds may contribute, but disagreement does not establish that Published labels were wrong. Neither experts nor published reviews supply an error-free standard. The bootstrap reflects trial variation within fixed reviews; it does not establish that effects differ between domains or references merely because individual intervals differ in whether they include zero.</w:t>
      </w:r>
    </w:p>
    <w:p>
      <w:pPr>
        <w:pStyle w:val="BodyText"/>
      </w:pPr>
      <w:r>
        <w:t xml:space="preserve">The benchmark covers one model configuration, one run per arm, 16 fixed reviews and two experts. Ordered, availability-dependent trial selection limits generalization beyond the included material. Experts could consult additional sources, reports may have appeared in model training, and supplied-source errors matter, as the unrelated De Waal registry illustrates. Independent ratings were frozen before label exposure, but offered labels could influence forced choices and revised ratings. Derived Overall summarizes the same domain assessments and is not independent confirmation. These limits favor replication with repeated runs and structured comparators, independent assessment of semantic evidence support, and prospective studies of reviewer use. The higher runtime and list-price equivalents quantify the computation needed to produce the record; human checking time, adoption and automation bias remain unmeasured.</w:t>
      </w:r>
    </w:p>
    <w:bookmarkStart w:id="27" w:name="conclusion-1"/>
    <w:p>
      <w:bookmarkStart w:id="122" w:name="loc_57"/>
      <w:pPr>
        <w:pStyle w:val="Heading2"/>
      </w:pPr>
      <w:r>
        <w:rPr>
          <w:b/>
        </w:rPr>
        <w:t>Conclusion</w:t>
      </w:r>
      <w:bookmarkEnd w:id="122"/>
    </w:p>
    <w:p>
      <w:pPr>
        <w:pStyle w:val="FirstParagraph"/>
      </w:pPr>
      <w:r>
        <w:t xml:space="preserve">ARBITER makes the basis of a RoB 2 assessment inspectable and had greater agreement with both independent experts than a same-model minimal-prompt comparator in this benchmark. Domain and reference dependence qualify that advantage. The available workflow lets reviewers inspect the evidence and decisions behind each assessment, alongside measured agreement and remaining disagreements with expert judgment.</w:t>
      </w:r>
    </w:p>
    <w:bookmarkEnd w:id="27"/>
    <w:bookmarkEnd w:id="28"/>
    <w:bookmarkStart w:id="38" w:name="back-matter"/>
    <w:p>
      <w:bookmarkStart w:id="124" w:name="loc_59"/>
      <w:pPr>
        <w:pStyle w:val="Heading1"/>
      </w:pPr>
      <w:r>
        <w:rPr>
          <w:b/>
        </w:rPr>
        <w:t>BACK MATTER</w:t>
      </w:r>
      <w:bookmarkEnd w:id="124"/>
    </w:p>
    <w:bookmarkStart w:id="29" w:name="acknowledgments-and-ai-use"/>
    <w:p>
      <w:bookmarkStart w:id="125" w:name="loc_60"/>
      <w:pPr>
        <w:pStyle w:val="Heading2"/>
      </w:pPr>
      <w:r>
        <w:rPr>
          <w:b/>
        </w:rPr>
        <w:t>Acknowledgments and AI use</w:t>
      </w:r>
      <w:bookmarkEnd w:id="125"/>
    </w:p>
    <w:p>
      <w:pPr>
        <w:pStyle w:val="FirstParagraph"/>
      </w:pPr>
      <w:r>
        <w:t xml:space="preserve">[Non-author contributors and acknowledgments]. OpenAI GPT-6-Astra, GPT-6.1-Sol and GPT-6-Luna, accessed through T3 Code, assisted literature research, drafting and editorial checks in this revision. Final author review, approval and accountability remain pending; any AI assistance before this revision remains to be confirmed. [Author to verify the complete disclosure, including any AI use in code, data processing or figures, and provide matching cover-letter disclosure]. The expert assessments and forced-choice adjudication used no AI.</w:t>
      </w:r>
    </w:p>
    <w:bookmarkEnd w:id="29"/>
    <w:bookmarkStart w:id="30" w:name="funding"/>
    <w:p>
      <w:bookmarkStart w:id="127" w:name="loc_62"/>
      <w:pPr>
        <w:pStyle w:val="Heading2"/>
      </w:pPr>
      <w:r>
        <w:rPr>
          <w:b/>
        </w:rPr>
        <w:t>Funding</w:t>
      </w:r>
      <w:bookmarkEnd w:id="127"/>
    </w:p>
    <w:p>
      <w:pPr>
        <w:pStyle w:val="FirstParagraph"/>
      </w:pPr>
      <w:r>
        <w:t xml:space="preserve">[Funding sources, grant identifiers and funder role, or an explicit statement of no funding].</w:t>
      </w:r>
    </w:p>
    <w:bookmarkEnd w:id="30"/>
    <w:bookmarkStart w:id="31" w:name="competing-interests"/>
    <w:p>
      <w:bookmarkStart w:id="129" w:name="loc_64"/>
      <w:pPr>
        <w:pStyle w:val="Heading2"/>
      </w:pPr>
      <w:r>
        <w:rPr>
          <w:b/>
        </w:rPr>
        <w:t>Competing interests</w:t>
      </w:r>
      <w:bookmarkEnd w:id="129"/>
    </w:p>
    <w:p>
      <w:pPr>
        <w:pStyle w:val="FirstParagraph"/>
      </w:pPr>
      <w:r>
        <w:t xml:space="preserve">[Author-specific competing interests, including relevant relationships to ARBITER, or an explicit declaration of none].</w:t>
      </w:r>
    </w:p>
    <w:bookmarkEnd w:id="31"/>
    <w:bookmarkStart w:id="32" w:name="author-contributions"/>
    <w:p>
      <w:bookmarkStart w:id="131" w:name="loc_66"/>
      <w:pPr>
        <w:pStyle w:val="Heading2"/>
      </w:pPr>
      <w:r>
        <w:rPr>
          <w:b/>
        </w:rPr>
        <w:t>Author contributions</w:t>
      </w:r>
      <w:bookmarkEnd w:id="131"/>
    </w:p>
    <w:p>
      <w:pPr>
        <w:pStyle w:val="FirstParagraph"/>
      </w:pPr>
      <w:r>
        <w:t xml:space="preserve">[Author names mapped to CRediT roles; confirmation of final approval and accountability].</w:t>
      </w:r>
    </w:p>
    <w:bookmarkEnd w:id="32"/>
    <w:bookmarkStart w:id="33" w:name="Xa795f839aa3476760733bd38e4d2d15944e6881"/>
    <w:p>
      <w:bookmarkStart w:id="133" w:name="loc_68"/>
      <w:pPr>
        <w:pStyle w:val="Heading2"/>
      </w:pPr>
      <w:r>
        <w:rPr>
          <w:b/>
        </w:rPr>
        <w:t>Ethics, registration and public involvement</w:t>
      </w:r>
      <w:bookmarkEnd w:id="133"/>
    </w:p>
    <w:p>
      <w:pPr>
        <w:pStyle w:val="FirstParagraph"/>
      </w:pPr>
      <w:r>
        <w:t xml:space="preserve">[Ethics approval or exemption determination and consent requirements, including the expert assessment and forced-choice component]. [Study registration status and identifier, if applicable]. [Patient and public involvement statement].</w:t>
      </w:r>
    </w:p>
    <w:bookmarkEnd w:id="33"/>
    <w:bookmarkStart w:id="37" w:name="data-availability"/>
    <w:p>
      <w:bookmarkStart w:id="135" w:name="loc_70"/>
      <w:pPr>
        <w:pStyle w:val="Heading2"/>
      </w:pPr>
      <w:r>
        <w:rPr>
          <w:b/>
        </w:rPr>
        <w:t>Data availability</w:t>
      </w:r>
      <w:bookmarkEnd w:id="135"/>
    </w:p>
    <w:p>
      <w:pPr>
        <w:pStyle w:val="FirstParagraph"/>
      </w:pPr>
      <w:r>
        <w:t xml:space="preserve">The</w:t>
      </w:r>
      <w:r>
        <w:t xml:space="preserve"> </w:t>
      </w:r>
      <w:hyperlink r:id="rId34">
        <w:r>
          <w:rPr>
            <w:rStyle w:val="Hyperlink"/>
          </w:rPr>
          <w:t xml:space="preserve">public study repository</w:t>
        </w:r>
      </w:hyperlink>
      <w:r>
        <w:t xml:space="preserve"> </w:t>
      </w:r>
      <w:r>
        <w:t xml:space="preserve">provides analysis code, derived data, expert assessment sheets, prompts and reproducibility materials. An archival DOI and complete dataset citation remain pending. ARBITER source is available at</w:t>
      </w:r>
      <w:r>
        <w:t xml:space="preserve"> </w:t>
      </w:r>
      <w:hyperlink r:id="rId20">
        <w:r>
          <w:rPr>
            <w:rStyle w:val="Hyperlink"/>
          </w:rPr>
          <w:t xml:space="preserve">the public software commit</w:t>
        </w:r>
      </w:hyperlink>
      <w:r>
        <w:t xml:space="preserve">. The</w:t>
      </w:r>
      <w:r>
        <w:t xml:space="preserve"> </w:t>
      </w:r>
      <w:hyperlink r:id="rId35">
        <w:r>
          <w:rPr>
            <w:rStyle w:val="Hyperlink"/>
          </w:rPr>
          <w:t xml:space="preserve">results report</w:t>
        </w:r>
      </w:hyperlink>
      <w:r>
        <w:t xml:space="preserve"> </w:t>
      </w:r>
      <w:r>
        <w:t xml:space="preserve">and</w:t>
      </w:r>
      <w:r>
        <w:t xml:space="preserve"> </w:t>
      </w:r>
      <w:hyperlink r:id="rId36">
        <w:r>
          <w:rPr>
            <w:rStyle w:val="Hyperlink"/>
          </w:rPr>
          <w:t xml:space="preserve">supplement</w:t>
        </w:r>
      </w:hyperlink>
      <w:r>
        <w:t xml:space="preserve"> </w:t>
      </w:r>
      <w:r>
        <w:t xml:space="preserve">provide the figures, editable tables and reproduction links. Trial PDFs will not be redistributed; trial DOIs and source-file hashes will identify the inputs. Author declarations and archival registration remain pending completion.</w:t>
      </w:r>
    </w:p>
    <w:bookmarkEnd w:id="37"/>
    <w:bookmarkEnd w:id="38"/>
    <w:bookmarkStart w:id="63" w:name="references"/>
    <w:p>
      <w:bookmarkStart w:id="137" w:name="loc_72"/>
      <w:pPr>
        <w:pStyle w:val="Heading1"/>
      </w:pPr>
      <w:r>
        <w:rPr>
          <w:b/>
        </w:rPr>
        <w:t>REFERENCES</w:t>
      </w:r>
      <w:bookmarkEnd w:id="137"/>
    </w:p>
    <w:p>
      <w:pPr>
        <w:numPr>
          <w:ilvl w:val="0"/>
          <w:numId w:val="1001"/>
        </w:numPr>
      </w:pPr>
      <w:r>
        <w:t xml:space="preserve">Sterne JAC, Savović J, Page MJ, et al. RoB 2: a revised tool for assessing risk of bias in randomised trials.</w:t>
      </w:r>
      <w:r>
        <w:t xml:space="preserve"> </w:t>
      </w:r>
      <w:r>
        <w:rPr>
          <w:i/>
          <w:iCs/>
        </w:rPr>
        <w:t xml:space="preserve">BMJ</w:t>
      </w:r>
      <w:r>
        <w:t xml:space="preserve"> </w:t>
      </w:r>
      <w:r>
        <w:t xml:space="preserve">2019;366:l4898. doi:</w:t>
      </w:r>
      <w:hyperlink r:id="rId39">
        <w:r>
          <w:rPr>
            <w:rStyle w:val="Hyperlink"/>
          </w:rPr>
          <w:t xml:space="preserve">10.1136/bmj.l4898</w:t>
        </w:r>
      </w:hyperlink>
      <w:r>
        <w:t xml:space="preserve">.</w:t>
      </w:r>
    </w:p>
    <w:p>
      <w:pPr>
        <w:numPr>
          <w:ilvl w:val="0"/>
          <w:numId w:val="1001"/>
        </w:numPr>
      </w:pPr>
      <w:r>
        <w:t xml:space="preserve">Minozzi S, Cinquini M, Gianola S, et al. The revised Cochrane risk of bias tool for randomized trials (RoB 2) showed low interrater reliability and challenges in its application.</w:t>
      </w:r>
      <w:r>
        <w:t xml:space="preserve"> </w:t>
      </w:r>
      <w:r>
        <w:rPr>
          <w:i/>
          <w:iCs/>
        </w:rPr>
        <w:t xml:space="preserve">J Clin Epidemiol</w:t>
      </w:r>
      <w:r>
        <w:t xml:space="preserve"> </w:t>
      </w:r>
      <w:r>
        <w:t xml:space="preserve">2020;126:37–44. doi:</w:t>
      </w:r>
      <w:hyperlink r:id="rId40">
        <w:r>
          <w:rPr>
            <w:rStyle w:val="Hyperlink"/>
          </w:rPr>
          <w:t xml:space="preserve">10.1016/j.jclinepi.2020.06.015</w:t>
        </w:r>
      </w:hyperlink>
      <w:r>
        <w:t xml:space="preserve">.</w:t>
      </w:r>
    </w:p>
    <w:p>
      <w:pPr>
        <w:numPr>
          <w:ilvl w:val="0"/>
          <w:numId w:val="1001"/>
        </w:numPr>
      </w:pPr>
      <w:r>
        <w:t xml:space="preserve">Minozzi S, Dwan K, Borrelli F, et al. Reliability of the revised Cochrane risk-of-bias tool for randomised trials (RoB2) improved with the use of implementation instruction.</w:t>
      </w:r>
      <w:r>
        <w:t xml:space="preserve"> </w:t>
      </w:r>
      <w:r>
        <w:rPr>
          <w:i/>
          <w:iCs/>
        </w:rPr>
        <w:t xml:space="preserve">J Clin Epidemiol</w:t>
      </w:r>
      <w:r>
        <w:t xml:space="preserve"> </w:t>
      </w:r>
      <w:r>
        <w:t xml:space="preserve">2022;141:99–105. doi:</w:t>
      </w:r>
      <w:hyperlink r:id="rId41">
        <w:r>
          <w:rPr>
            <w:rStyle w:val="Hyperlink"/>
          </w:rPr>
          <w:t xml:space="preserve">10.1016/j.jclinepi.2021.09.021</w:t>
        </w:r>
      </w:hyperlink>
      <w:r>
        <w:t xml:space="preserve">.</w:t>
      </w:r>
    </w:p>
    <w:p>
      <w:pPr>
        <w:numPr>
          <w:ilvl w:val="0"/>
          <w:numId w:val="1001"/>
        </w:numPr>
      </w:pPr>
      <w:r>
        <w:t xml:space="preserve">Bertizzolo L, Bossuyt P, Atal I, et al. Disagreements in risk of bias assessment for randomised controlled trials included in more than one Cochrane systematic reviews: a research on research study using cross-sectional design.</w:t>
      </w:r>
      <w:r>
        <w:t xml:space="preserve"> </w:t>
      </w:r>
      <w:r>
        <w:rPr>
          <w:i/>
          <w:iCs/>
        </w:rPr>
        <w:t xml:space="preserve">BMJ Open</w:t>
      </w:r>
      <w:r>
        <w:t xml:space="preserve"> </w:t>
      </w:r>
      <w:r>
        <w:t xml:space="preserve">2019;9:e028382. doi:</w:t>
      </w:r>
      <w:hyperlink r:id="rId42">
        <w:r>
          <w:rPr>
            <w:rStyle w:val="Hyperlink"/>
          </w:rPr>
          <w:t xml:space="preserve">10.1136/bmjopen-2018-028382</w:t>
        </w:r>
      </w:hyperlink>
      <w:r>
        <w:t xml:space="preserve">.</w:t>
      </w:r>
    </w:p>
    <w:p>
      <w:pPr>
        <w:numPr>
          <w:ilvl w:val="0"/>
          <w:numId w:val="1001"/>
        </w:numPr>
      </w:pPr>
      <w:r>
        <w:t xml:space="preserve">Yao Y, Shen J, Luo J, et al. Disagreements in risk of bias assessment for randomized controlled trials in hypertension-related Cochrane reviews.</w:t>
      </w:r>
      <w:r>
        <w:t xml:space="preserve"> </w:t>
      </w:r>
      <w:r>
        <w:rPr>
          <w:i/>
          <w:iCs/>
        </w:rPr>
        <w:t xml:space="preserve">Trials</w:t>
      </w:r>
      <w:r>
        <w:t xml:space="preserve"> </w:t>
      </w:r>
      <w:r>
        <w:t xml:space="preserve">2024;25:405. doi:</w:t>
      </w:r>
      <w:hyperlink r:id="rId43">
        <w:r>
          <w:rPr>
            <w:rStyle w:val="Hyperlink"/>
          </w:rPr>
          <w:t xml:space="preserve">10.1186/s13063-024-08145-2</w:t>
        </w:r>
      </w:hyperlink>
      <w:r>
        <w:t xml:space="preserve">.</w:t>
      </w:r>
    </w:p>
    <w:p>
      <w:pPr>
        <w:numPr>
          <w:ilvl w:val="0"/>
          <w:numId w:val="1001"/>
        </w:numPr>
      </w:pPr>
      <w:r>
        <w:t xml:space="preserve">Flemyng E, Noel-Storr A, Macura B, et al. Position statement on artificial intelligence (AI) use in evidence synthesis across Cochrane, the Campbell Collaboration, JBI, and the Collaboration for Environmental Evidence 2025.</w:t>
      </w:r>
      <w:r>
        <w:t xml:space="preserve"> </w:t>
      </w:r>
      <w:r>
        <w:rPr>
          <w:i/>
          <w:iCs/>
        </w:rPr>
        <w:t xml:space="preserve">JBI Evid Synth</w:t>
      </w:r>
      <w:r>
        <w:t xml:space="preserve"> </w:t>
      </w:r>
      <w:r>
        <w:t xml:space="preserve">2025;23:2162–66. doi:</w:t>
      </w:r>
      <w:hyperlink r:id="rId44">
        <w:r>
          <w:rPr>
            <w:rStyle w:val="Hyperlink"/>
          </w:rPr>
          <w:t xml:space="preserve">10.11124/JBIES-25-00480</w:t>
        </w:r>
      </w:hyperlink>
      <w:r>
        <w:t xml:space="preserve">.</w:t>
      </w:r>
    </w:p>
    <w:p>
      <w:pPr>
        <w:numPr>
          <w:ilvl w:val="0"/>
          <w:numId w:val="1001"/>
        </w:numPr>
      </w:pPr>
      <w:r>
        <w:t xml:space="preserve">Thomas J, Flemyng E, Noel-Storr A, et al. Responsible use of AI in evidence SynthEsis (RAISE): recommendations and guidance. OSF. doi:</w:t>
      </w:r>
      <w:hyperlink r:id="rId45">
        <w:r>
          <w:rPr>
            <w:rStyle w:val="Hyperlink"/>
          </w:rPr>
          <w:t xml:space="preserve">10.17605/OSF.IO/FWAUD</w:t>
        </w:r>
      </w:hyperlink>
      <w:r>
        <w:t xml:space="preserve">. Accessed 19 October 2026. Living project; the DOI identifies the guidance collection.</w:t>
      </w:r>
    </w:p>
    <w:p>
      <w:pPr>
        <w:numPr>
          <w:ilvl w:val="0"/>
          <w:numId w:val="1001"/>
        </w:numPr>
      </w:pPr>
      <w:r>
        <w:t xml:space="preserve">Marshall IJ, Kuiper J, Wallace BC. RobotReviewer: evaluation of a system for automatically assessing bias in clinical trials.</w:t>
      </w:r>
      <w:r>
        <w:t xml:space="preserve"> </w:t>
      </w:r>
      <w:r>
        <w:rPr>
          <w:i/>
          <w:iCs/>
        </w:rPr>
        <w:t xml:space="preserve">J Am Med Inform Assoc</w:t>
      </w:r>
      <w:r>
        <w:t xml:space="preserve"> </w:t>
      </w:r>
      <w:r>
        <w:t xml:space="preserve">2016;23:193–201. doi:</w:t>
      </w:r>
      <w:hyperlink r:id="rId46">
        <w:r>
          <w:rPr>
            <w:rStyle w:val="Hyperlink"/>
          </w:rPr>
          <w:t xml:space="preserve">10.1093/jamia/ocv044</w:t>
        </w:r>
      </w:hyperlink>
      <w:r>
        <w:t xml:space="preserve">.</w:t>
      </w:r>
    </w:p>
    <w:p>
      <w:pPr>
        <w:numPr>
          <w:ilvl w:val="0"/>
          <w:numId w:val="1001"/>
        </w:numPr>
      </w:pPr>
      <w:r>
        <w:t xml:space="preserve">Hevia A, Chintalapati S, Lai VKW, et al. ROBOTO2: An Interactive System and Dataset for LLM-assisted Clinical Trial Risk of Bias Assessment. In:</w:t>
      </w:r>
      <w:r>
        <w:t xml:space="preserve"> </w:t>
      </w:r>
      <w:r>
        <w:rPr>
          <w:i/>
          <w:iCs/>
        </w:rPr>
        <w:t xml:space="preserve">Proceedings of the 2025 Conference on Empirical Methods in Natural Language Processing: System Demonstrations</w:t>
      </w:r>
      <w:r>
        <w:t xml:space="preserve">. Association for Computational Linguistics, 2025:12–25. doi:</w:t>
      </w:r>
      <w:hyperlink r:id="rId47">
        <w:r>
          <w:rPr>
            <w:rStyle w:val="Hyperlink"/>
          </w:rPr>
          <w:t xml:space="preserve">10.18653/v1/2025.emnlp-demos.2</w:t>
        </w:r>
      </w:hyperlink>
      <w:r>
        <w:t xml:space="preserve">.</w:t>
      </w:r>
    </w:p>
    <w:p>
      <w:pPr>
        <w:numPr>
          <w:ilvl w:val="0"/>
          <w:numId w:val="1001"/>
        </w:numPr>
      </w:pPr>
      <w:r>
        <w:t xml:space="preserve">Gandhi S, Shokravi A, Chelliahpillai Y, et al. Evaluating large language model performance in Risk of Bias assessments: A cross-sectional validation study.</w:t>
      </w:r>
      <w:r>
        <w:t xml:space="preserve"> </w:t>
      </w:r>
      <w:r>
        <w:rPr>
          <w:i/>
          <w:iCs/>
        </w:rPr>
        <w:t xml:space="preserve">PLoS One</w:t>
      </w:r>
      <w:r>
        <w:t xml:space="preserve"> </w:t>
      </w:r>
      <w:r>
        <w:t xml:space="preserve">2026;21:e0353155. doi:</w:t>
      </w:r>
      <w:hyperlink r:id="rId48">
        <w:r>
          <w:rPr>
            <w:rStyle w:val="Hyperlink"/>
          </w:rPr>
          <w:t xml:space="preserve">10.1371/journal.pone.0353155</w:t>
        </w:r>
      </w:hyperlink>
      <w:r>
        <w:t xml:space="preserve">.</w:t>
      </w:r>
    </w:p>
    <w:p>
      <w:pPr>
        <w:numPr>
          <w:ilvl w:val="0"/>
          <w:numId w:val="1001"/>
        </w:numPr>
      </w:pPr>
      <w:r>
        <w:t xml:space="preserve">Huang J, Lai H, Zhao W, et al. Large Language Model–Assisted Risk-of-Bias Assessment in Randomized Controlled Trials Using the Revised Risk-of-Bias Tool: Evaluation Study.</w:t>
      </w:r>
      <w:r>
        <w:t xml:space="preserve"> </w:t>
      </w:r>
      <w:r>
        <w:rPr>
          <w:i/>
          <w:iCs/>
        </w:rPr>
        <w:t xml:space="preserve">J Med Internet Res</w:t>
      </w:r>
      <w:r>
        <w:t xml:space="preserve"> </w:t>
      </w:r>
      <w:r>
        <w:t xml:space="preserve">2025;27:e70450. doi:</w:t>
      </w:r>
      <w:hyperlink r:id="rId49">
        <w:r>
          <w:rPr>
            <w:rStyle w:val="Hyperlink"/>
          </w:rPr>
          <w:t xml:space="preserve">10.2196/70450</w:t>
        </w:r>
      </w:hyperlink>
      <w:r>
        <w:t xml:space="preserve">.</w:t>
      </w:r>
    </w:p>
    <w:p>
      <w:pPr>
        <w:numPr>
          <w:ilvl w:val="0"/>
          <w:numId w:val="1001"/>
        </w:numPr>
      </w:pPr>
      <w:r>
        <w:t xml:space="preserve">Xiong YT, Wang YC, Sun YN, et al. Impact of prompt engineering on large language models for risk of bias assessment: a comparative study.</w:t>
      </w:r>
      <w:r>
        <w:t xml:space="preserve"> </w:t>
      </w:r>
      <w:r>
        <w:rPr>
          <w:i/>
          <w:iCs/>
        </w:rPr>
        <w:t xml:space="preserve">BMJ Evid Based Med</w:t>
      </w:r>
      <w:r>
        <w:t xml:space="preserve"> </w:t>
      </w:r>
      <w:r>
        <w:t xml:space="preserve">2026;31:332–41. doi:</w:t>
      </w:r>
      <w:hyperlink r:id="rId50">
        <w:r>
          <w:rPr>
            <w:rStyle w:val="Hyperlink"/>
          </w:rPr>
          <w:t xml:space="preserve">10.1136/bmjebm-2025-114055</w:t>
        </w:r>
      </w:hyperlink>
      <w:r>
        <w:t xml:space="preserve">.</w:t>
      </w:r>
    </w:p>
    <w:p>
      <w:pPr>
        <w:numPr>
          <w:ilvl w:val="0"/>
          <w:numId w:val="1001"/>
        </w:numPr>
      </w:pPr>
      <w:r>
        <w:t xml:space="preserve">Nyrhi L, Ponkilainen V, Laaksonen J, et al. Large language models for risk-of-bias assessment in randomised clinical trials—a comparative validation study.</w:t>
      </w:r>
      <w:r>
        <w:t xml:space="preserve"> </w:t>
      </w:r>
      <w:r>
        <w:rPr>
          <w:i/>
          <w:iCs/>
        </w:rPr>
        <w:t xml:space="preserve">EBioMedicine</w:t>
      </w:r>
      <w:r>
        <w:t xml:space="preserve"> </w:t>
      </w:r>
      <w:r>
        <w:t xml:space="preserve">2026;126:106238. doi:</w:t>
      </w:r>
      <w:hyperlink r:id="rId51">
        <w:r>
          <w:rPr>
            <w:rStyle w:val="Hyperlink"/>
          </w:rPr>
          <w:t xml:space="preserve">10.1016/j.ebiom.2026.106238</w:t>
        </w:r>
      </w:hyperlink>
      <w:r>
        <w:t xml:space="preserve">.</w:t>
      </w:r>
    </w:p>
    <w:p>
      <w:pPr>
        <w:numPr>
          <w:ilvl w:val="0"/>
          <w:numId w:val="1001"/>
        </w:numPr>
      </w:pPr>
      <w:r>
        <w:t xml:space="preserve">Taneri PE. Human Versus Artificial Intelligence: Comparing Cochrane Authors’ and ChatGPT’s Risk of Bias Assessments.</w:t>
      </w:r>
      <w:r>
        <w:t xml:space="preserve"> </w:t>
      </w:r>
      <w:r>
        <w:rPr>
          <w:i/>
          <w:iCs/>
        </w:rPr>
        <w:t xml:space="preserve">Cochrane Evidence Synthesis and Methods</w:t>
      </w:r>
      <w:r>
        <w:t xml:space="preserve"> </w:t>
      </w:r>
      <w:r>
        <w:t xml:space="preserve">2025;3:e70044. doi:</w:t>
      </w:r>
      <w:hyperlink r:id="rId52">
        <w:r>
          <w:rPr>
            <w:rStyle w:val="Hyperlink"/>
          </w:rPr>
          <w:t xml:space="preserve">10.1002/cesm.70044</w:t>
        </w:r>
      </w:hyperlink>
      <w:r>
        <w:t xml:space="preserve">.</w:t>
      </w:r>
    </w:p>
    <w:p>
      <w:pPr>
        <w:numPr>
          <w:ilvl w:val="0"/>
          <w:numId w:val="1001"/>
        </w:numPr>
      </w:pPr>
      <w:r>
        <w:t xml:space="preserve">Lai YJ, Lin SH, Liu JW. Evaluating the Accuracy of Large Language Models in Risk-of-Bias Assessment Using Version 2 of the Cochrane Risk-of-Bias Tool for Randomized Trials: Exploratory Feasibility Study.</w:t>
      </w:r>
      <w:r>
        <w:t xml:space="preserve"> </w:t>
      </w:r>
      <w:r>
        <w:rPr>
          <w:i/>
          <w:iCs/>
        </w:rPr>
        <w:t xml:space="preserve">J Med Internet Res</w:t>
      </w:r>
      <w:r>
        <w:t xml:space="preserve"> </w:t>
      </w:r>
      <w:r>
        <w:t xml:space="preserve">2026;28:e84915. doi:</w:t>
      </w:r>
      <w:hyperlink r:id="rId53">
        <w:r>
          <w:rPr>
            <w:rStyle w:val="Hyperlink"/>
          </w:rPr>
          <w:t xml:space="preserve">10.2196/84915</w:t>
        </w:r>
      </w:hyperlink>
      <w:r>
        <w:t xml:space="preserve">.</w:t>
      </w:r>
    </w:p>
    <w:p>
      <w:pPr>
        <w:numPr>
          <w:ilvl w:val="0"/>
          <w:numId w:val="1001"/>
        </w:numPr>
      </w:pPr>
      <w:r>
        <w:t xml:space="preserve">Choi J, Swan H, Kim MJ, et al. Variability, algorithm conformance, and accuracy of large language model–based tools for risk-of-bias (RoB 2.0) assessment of randomized trials: a pilot study.</w:t>
      </w:r>
      <w:r>
        <w:t xml:space="preserve"> </w:t>
      </w:r>
      <w:r>
        <w:rPr>
          <w:i/>
          <w:iCs/>
        </w:rPr>
        <w:t xml:space="preserve">Journal of Evidence-Based Practice</w:t>
      </w:r>
      <w:r>
        <w:t xml:space="preserve"> </w:t>
      </w:r>
      <w:r>
        <w:t xml:space="preserve">2026;2:91–97. doi:</w:t>
      </w:r>
      <w:hyperlink r:id="rId54">
        <w:r>
          <w:rPr>
            <w:rStyle w:val="Hyperlink"/>
          </w:rPr>
          <w:t xml:space="preserve">10.63528/jebp.2026.00011</w:t>
        </w:r>
      </w:hyperlink>
      <w:r>
        <w:t xml:space="preserve">.</w:t>
      </w:r>
    </w:p>
    <w:p>
      <w:pPr>
        <w:numPr>
          <w:ilvl w:val="0"/>
          <w:numId w:val="1001"/>
        </w:numPr>
      </w:pPr>
      <w:r>
        <w:t xml:space="preserve">Eisele-Metzger A, Lieberum JL, Toews M, et al. Exploring the potential of Claude 2 for risk of bias assessment: Using a large language model to assess randomized controlled trials with RoB 2.</w:t>
      </w:r>
      <w:r>
        <w:t xml:space="preserve"> </w:t>
      </w:r>
      <w:r>
        <w:rPr>
          <w:i/>
          <w:iCs/>
        </w:rPr>
        <w:t xml:space="preserve">Res Synth Methods</w:t>
      </w:r>
      <w:r>
        <w:t xml:space="preserve"> </w:t>
      </w:r>
      <w:r>
        <w:t xml:space="preserve">2025;16:491–508. doi:</w:t>
      </w:r>
      <w:hyperlink r:id="rId55">
        <w:r>
          <w:rPr>
            <w:rStyle w:val="Hyperlink"/>
          </w:rPr>
          <w:t xml:space="preserve">10.1017/rsm.2025.12</w:t>
        </w:r>
      </w:hyperlink>
      <w:r>
        <w:t xml:space="preserve">.</w:t>
      </w:r>
    </w:p>
    <w:p>
      <w:pPr>
        <w:numPr>
          <w:ilvl w:val="0"/>
          <w:numId w:val="1001"/>
        </w:numPr>
      </w:pPr>
      <w:r>
        <w:t xml:space="preserve">Sahu V. Five methodological considerations for validating LLMs in risk of bias assessment.</w:t>
      </w:r>
      <w:r>
        <w:t xml:space="preserve"> </w:t>
      </w:r>
      <w:r>
        <w:rPr>
          <w:i/>
          <w:iCs/>
        </w:rPr>
        <w:t xml:space="preserve">Res Synth Methods</w:t>
      </w:r>
      <w:r>
        <w:t xml:space="preserve"> </w:t>
      </w:r>
      <w:r>
        <w:t xml:space="preserve">2026;17:1054–56. doi:</w:t>
      </w:r>
      <w:hyperlink r:id="rId56">
        <w:r>
          <w:rPr>
            <w:rStyle w:val="Hyperlink"/>
          </w:rPr>
          <w:t xml:space="preserve">10.1017/rsm.2026.10073</w:t>
        </w:r>
      </w:hyperlink>
      <w:r>
        <w:t xml:space="preserve">.</w:t>
      </w:r>
    </w:p>
    <w:p>
      <w:pPr>
        <w:numPr>
          <w:ilvl w:val="0"/>
          <w:numId w:val="1001"/>
        </w:numPr>
      </w:pPr>
      <w:r>
        <w:t xml:space="preserve">Gartlehner G, Kugley S, Crotty K, et al. Artificial Intelligence–Assisted Data Extraction With a Large Language Model: A Study Within Reviews.</w:t>
      </w:r>
      <w:r>
        <w:t xml:space="preserve"> </w:t>
      </w:r>
      <w:r>
        <w:rPr>
          <w:i/>
          <w:iCs/>
        </w:rPr>
        <w:t xml:space="preserve">Ann Intern Med</w:t>
      </w:r>
      <w:r>
        <w:t xml:space="preserve"> </w:t>
      </w:r>
      <w:r>
        <w:t xml:space="preserve">2025;178:1763–71. doi:</w:t>
      </w:r>
      <w:hyperlink r:id="rId57">
        <w:r>
          <w:rPr>
            <w:rStyle w:val="Hyperlink"/>
          </w:rPr>
          <w:t xml:space="preserve">10.7326/ANNALS-25-00739</w:t>
        </w:r>
      </w:hyperlink>
      <w:r>
        <w:t xml:space="preserve">.</w:t>
      </w:r>
    </w:p>
    <w:p>
      <w:pPr>
        <w:numPr>
          <w:ilvl w:val="0"/>
          <w:numId w:val="1001"/>
        </w:numPr>
      </w:pPr>
      <w:r>
        <w:t xml:space="preserve">Gallifant J, Afshar M, Ameen S, et al. The TRIPOD-LLM reporting guideline for studies using large language models.</w:t>
      </w:r>
      <w:r>
        <w:t xml:space="preserve"> </w:t>
      </w:r>
      <w:r>
        <w:rPr>
          <w:i/>
          <w:iCs/>
        </w:rPr>
        <w:t xml:space="preserve">Nat Med</w:t>
      </w:r>
      <w:r>
        <w:t xml:space="preserve"> </w:t>
      </w:r>
      <w:r>
        <w:t xml:space="preserve">2025;31:60–69. doi:</w:t>
      </w:r>
      <w:hyperlink r:id="rId58">
        <w:r>
          <w:rPr>
            <w:rStyle w:val="Hyperlink"/>
          </w:rPr>
          <w:t xml:space="preserve">10.1038/s41591-024-03425-5</w:t>
        </w:r>
      </w:hyperlink>
      <w:r>
        <w:t xml:space="preserve">.</w:t>
      </w:r>
    </w:p>
    <w:p>
      <w:pPr>
        <w:numPr>
          <w:ilvl w:val="0"/>
          <w:numId w:val="1001"/>
        </w:numPr>
      </w:pPr>
      <w:r>
        <w:t xml:space="preserve">Kottner J, Audigé L, Brorson S, et al. Guidelines for Reporting Reliability and Agreement Studies (GRRAS) were proposed.</w:t>
      </w:r>
      <w:r>
        <w:t xml:space="preserve"> </w:t>
      </w:r>
      <w:r>
        <w:rPr>
          <w:i/>
          <w:iCs/>
        </w:rPr>
        <w:t xml:space="preserve">J Clin Epidemiol</w:t>
      </w:r>
      <w:r>
        <w:t xml:space="preserve"> </w:t>
      </w:r>
      <w:r>
        <w:t xml:space="preserve">2011;64:96–106. doi:</w:t>
      </w:r>
      <w:hyperlink r:id="rId59">
        <w:r>
          <w:rPr>
            <w:rStyle w:val="Hyperlink"/>
          </w:rPr>
          <w:t xml:space="preserve">10.1016/j.jclinepi.2010.03.002</w:t>
        </w:r>
      </w:hyperlink>
      <w:r>
        <w:t xml:space="preserve">.</w:t>
      </w:r>
    </w:p>
    <w:p>
      <w:pPr>
        <w:numPr>
          <w:ilvl w:val="0"/>
          <w:numId w:val="1001"/>
        </w:numPr>
      </w:pPr>
      <w:r>
        <w:t xml:space="preserve">Liu N, Zhang T, Liang P. Evaluating verifiability in generative search engines. In:</w:t>
      </w:r>
      <w:r>
        <w:t xml:space="preserve"> </w:t>
      </w:r>
      <w:r>
        <w:rPr>
          <w:i/>
          <w:iCs/>
        </w:rPr>
        <w:t xml:space="preserve">Findings of the Association for Computational Linguistics: EMNLP 2023</w:t>
      </w:r>
      <w:r>
        <w:t xml:space="preserve">. Association for Computational Linguistics, 2023:7001–25. doi:</w:t>
      </w:r>
      <w:hyperlink r:id="rId60">
        <w:r>
          <w:rPr>
            <w:rStyle w:val="Hyperlink"/>
          </w:rPr>
          <w:t xml:space="preserve">10.18653/v1/2023.findings-emnlp.467</w:t>
        </w:r>
      </w:hyperlink>
      <w:r>
        <w:t xml:space="preserve">.</w:t>
      </w:r>
    </w:p>
    <w:p>
      <w:pPr>
        <w:numPr>
          <w:ilvl w:val="0"/>
          <w:numId w:val="1001"/>
        </w:numPr>
      </w:pPr>
      <w:r>
        <w:t xml:space="preserve">Li Y, Yang F, Wu M, Li J. Human-AI collaboration enhances the performance of large language models in risk of bias assessment.</w:t>
      </w:r>
      <w:r>
        <w:t xml:space="preserve"> </w:t>
      </w:r>
      <w:r>
        <w:rPr>
          <w:i/>
          <w:iCs/>
        </w:rPr>
        <w:t xml:space="preserve">BMC Med Res Methodol</w:t>
      </w:r>
      <w:r>
        <w:t xml:space="preserve"> </w:t>
      </w:r>
      <w:r>
        <w:t xml:space="preserve">2026;26:37. doi:</w:t>
      </w:r>
      <w:hyperlink r:id="rId61">
        <w:r>
          <w:rPr>
            <w:rStyle w:val="Hyperlink"/>
          </w:rPr>
          <w:t xml:space="preserve">10.1186/s12874-025-02763-3</w:t>
        </w:r>
      </w:hyperlink>
      <w:r>
        <w:t xml:space="preserve">.</w:t>
      </w:r>
    </w:p>
    <w:p>
      <w:pPr>
        <w:numPr>
          <w:ilvl w:val="0"/>
          <w:numId w:val="1001"/>
        </w:numPr>
      </w:pPr>
      <w:r>
        <w:t xml:space="preserve">Joseph J, Vishwanath R, Sisirkumar JV. RoB2-Evaluator: Development and Technical Evaluation of a Rule-Constrained Large Language Model System for Cochrane Risk of Bias 2 Assessment.</w:t>
      </w:r>
      <w:r>
        <w:t xml:space="preserve"> </w:t>
      </w:r>
      <w:r>
        <w:rPr>
          <w:i/>
          <w:iCs/>
        </w:rPr>
        <w:t xml:space="preserve">medRxiv</w:t>
      </w:r>
      <w:r>
        <w:t xml:space="preserve"> </w:t>
      </w:r>
      <w:r>
        <w:t xml:space="preserve">[Preprint]. Posted 23 September 2026. doi:</w:t>
      </w:r>
      <w:hyperlink r:id="rId62">
        <w:r>
          <w:rPr>
            <w:rStyle w:val="Hyperlink"/>
          </w:rPr>
          <w:t xml:space="preserve">10.64898/2026.09.22.26363693</w:t>
        </w:r>
      </w:hyperlink>
      <w:r>
        <w:t xml:space="preserve">.</w:t>
      </w:r>
    </w:p>
    <w:bookmarkEnd w:id="63"/>
    <w:bookmarkEnd w:id="64"/>
    <w:p>
      <w:bookmarkStart w:id="162" w:name="loc_97"/>
      <w:pPr>
        <w:pStyle w:val="Heading1"/>
        <w:pageBreakBefore/>
      </w:pPr>
      <w:r>
        <w:t>FIGURE LEGENDS</w:t>
      </w:r>
      <w:bookmarkEnd w:id="162"/>
    </w:p>
    <w:p>
      <w:pPr>
        <w:keepNext/>
        <w:keepLines/>
        <w:pageBreakBefore w:val="0"/>
      </w:pPr>
      <w:r>
        <w:t>Figure 1. ARBITER splits the work: an AI model reads and answers; rule-based software checks quotes, applies RoB 2 rules and records everything. Lanes show the reviewer, AI model, ARBITER server and audit file across capture, approval, domain assessment and export. Plain labels show actions; gray text names the underlying tool calls. The reviewer receives the HTML report and audit file, both checkable by an independent verifier. RoB 2 is the Cochrane risk-of-bias tool for randomised trials.</w:t>
      </w:r>
    </w:p>
    <w:p>
      <w:pPr>
        <w:keepLines/>
      </w:pPr>
      <w:r>
        <w:t>Alt text: The reviewer chooses a trial and outcome and approves the result to assess. The AI model reads reports, selects evidence and answers questions. ARBITER stores source records, checks quotes and applies the RoB 2 rules. The reviewer receives an HTML assessment report and an audit file containing sources, quotes, answers and decisions; both can be checked by an independent verifier.</w:t>
      </w:r>
    </w:p>
    <w:p>
      <w:pPr>
        <w:keepNext/>
        <w:keepLines/>
        <w:pageBreakBefore/>
      </w:pPr>
      <w:r>
        <w:t>Figure 2. Each answer is tied to stored sources, and RoB 2 rules compute the rating across every domain. AVATAR compares early surgery with watchful waiting in asymptomatic severe aortic stenosis; the outcome is all-cause death. This trial was chosen to illustrate the process, not as representative. Rows link paraphrased questions, source excerpts, AI answers, software checks and domain ratings. Letter/page tabs identify sources; “Weighed against” and “Open point” give counter-evidence and unknowns. A missing dated analysis plan leads to Some concerns overall. Full answers and official question wording appear in the AVATAR complete trace in the supplement. Y, yes; PY, probably yes; PN, probably no; N, no; NI, no information.</w:t>
      </w:r>
    </w:p>
    <w:p>
      <w:pPr>
        <w:keepLines/>
      </w:pPr>
      <w:r>
        <w:t>Alt text: AVATAR's five risk-of-bias domains connect source excerpts to the AI model's answers and the ratings computed by ARBITER. Four domains are Low. For selection of the reported result, the stored sources do not establish a dated plan for this analysis. The model answers No information, and the RoB 2 rules yield Some concerns for that domain and overall. Counter-evidence and unresolved questions remain visible alongside the answers.</w:t>
      </w:r>
    </w:p>
    <w:p>
      <w:pPr>
        <w:keepNext/>
        <w:keepLines/>
        <w:pageBreakBefore/>
      </w:pPr>
      <w:r>
        <w:t>Figure 3. Paired evaluation and conditional primary endpoint. Both arms assessed the same 102 trials using the same Sonnet model and supplied documents. Two experts independently recorded ratings and signalling answers for all 510 trial-domain cells before viewing labels. In a separate stage, each chose among three labels presented in random order without rationales. The primary endpoint uses 60 agreed choices from 80 arm-discordant cells; 20 split choices enter sensitivities. The all-cell expert comparisons are not restricted to that conditional population. Counts are trials or cells as indicated; no interval applies.</w:t>
      </w:r>
    </w:p>
    <w:p>
      <w:pPr>
        <w:keepLines/>
      </w:pPr>
      <w:r>
        <w:t>Alt text: Paired evaluation of 102 trials and 510 cells against two independent experts. A separate conditional branch contains 80 arm-discordant cells, 60 agreed choices and 20 splits.</w:t>
      </w:r>
    </w:p>
    <w:p>
      <w:pPr>
        <w:keepNext/>
        <w:keepLines/>
        <w:pageBreakBefore/>
      </w:pPr>
      <w:r>
        <w:t>Figure 4. Absolute and paired domain agreement with each independent expert. Blue circles denote ARBITER and orange squares Unassisted. Left panels show exact agreement with 95% intervals on a 0–100% scale; right panels show paired ARBITER minus Unassisted differences in percentage points, with neutral diamonds and zero lines. Each expert contributes 510 pooled cells and 102 per domain. Expert-to-expert agreement is 388/510 (76.1%; weighted κ 0.59), context rather than a performance ceiling. The compact Published comparison retains all 510 cells. D1: randomisation process; D2: deviations from intended interventions; D3: missing outcome data; D4: outcome measurement; D5: selection of the reported result. Overall is supplementary. CI, 95% confidence interval; 10,000 percentile bootstrap replicates, trials resampled within meta-analysis; seed 20261018.</w:t>
      </w:r>
    </w:p>
    <w:p>
      <w:pPr>
        <w:keepLines/>
      </w:pPr>
      <w:r>
        <w:t>Alt text: Exact agreement and paired gains against each expert, pooled and by domain. Both pooled gains favor ARBITER; D5 gains are largest and D3 depends strongly on the expert reference. The full-cohort Published comparison is shown separately.</w:t>
      </w:r>
    </w:p>
    <w:p>
      <w:pPr>
        <w:keepNext/>
        <w:keepLines/>
        <w:pageBreakBefore/>
      </w:pPr>
      <w:r>
        <w:t>Figure 5. Paired signalling-answer diagnostics. Rows cover all five domains against each expert; n is the number of question components evaluable in both arms. Diamonds and bars show ARBITER minus Unassisted exact agreement and 95% intervals. Five-level matching distinguishes yes, probably yes, no, probably no and no information. Collapsed matching combines yes/probably yes and no/probably no, leaving no information separate. These are different estimands. D1: randomisation process; D2: deviations from intended interventions; D3: missing outcome data; D4: outcome measurement; D5: selection of the reported result. D3 and D5 illustrate reference dependence and the effect of coding; the complete question-level results, including sparse and unfavorable comparisons, are in eFigures 2 and 5. Source-specific absolute rates appear separately in eFigure 4. CI, 95% confidence interval; 10,000 percentile bootstrap replicates, trials resampled within meta-analysis; seed 20261018.</w:t>
      </w:r>
    </w:p>
    <w:p>
      <w:pPr>
        <w:keepLines/>
      </w:pPr>
      <w:r>
        <w:t>Alt text: Paired signalling-answer differences by domain and expert, separating five-level and collapsed coding. D3 changes direction with coding against Expert 1; D5 collapsed gains are smaller against Expert 2.</w:t>
      </w:r>
    </w:p>
    <w:sectPr>
      <w:footerReference w:type="default" r:id="rId9"/>
      <w:footnotePr>
        <w:numRestart w:val="eachSect"/>
      </w:footnotePr>
      <w:pgMar w:top="1080" w:bottom="1080"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Arial" w:hAnsi="Arial"/>
      <w:color w:val="000000"/>
      <w:sz w:val="22"/>
    </w:rPr>
  </w:style>
  <w:style w:styleId="BodyText" w:type="paragraph">
    <w:name w:val="Body Text"/>
    <w:basedOn w:val="Normal"/>
    <w:link w:val="BodyTextChar"/>
    <w:qFormat/>
    <w:pPr>
      <w:spacing w:after="0" w:before="180" w:line="480" w:lineRule="auto"/>
    </w:pPr>
    <w:rPr>
      <w:rFonts w:ascii="Arial" w:hAnsi="Arial"/>
      <w:color w:val="000000"/>
      <w:sz w:val="22"/>
    </w:rPr>
  </w:style>
  <w:style w:customStyle="1" w:styleId="FirstParagraph" w:type="paragraph">
    <w:name w:val="First Paragraph"/>
    <w:basedOn w:val="BodyText"/>
    <w:next w:val="BodyText"/>
    <w:qFormat/>
    <w:pPr>
      <w:spacing w:line="480" w:lineRule="auto" w:after="0"/>
    </w:pPr>
    <w:rPr>
      <w:rFonts w:ascii="Arial" w:hAnsi="Arial"/>
      <w:color w:val="000000"/>
      <w:sz w:val="22"/>
    </w:rPr>
  </w:style>
  <w:style w:customStyle="1" w:styleId="Compact" w:type="paragraph">
    <w:name w:val="Compact"/>
    <w:basedOn w:val="BodyText"/>
    <w:qFormat/>
    <w:pPr>
      <w:spacing w:after="0" w:before="36" w:line="480" w:lineRule="auto"/>
    </w:pPr>
    <w:rPr>
      <w:rFonts w:ascii="Arial" w:hAnsi="Arial"/>
      <w:color w:val="000000"/>
      <w:sz w:val="22"/>
    </w:rPr>
  </w:style>
  <w:style w:styleId="Title" w:type="paragraph">
    <w:name w:val="Title"/>
    <w:basedOn w:val="Normal"/>
    <w:next w:val="BodyText"/>
    <w:link w:val="TitleChar"/>
    <w:uiPriority w:val="10"/>
    <w:qFormat/>
    <w:rsid w:val="00A10FD9"/>
    <w:pPr>
      <w:spacing w:after="0" w:line="480" w:lineRule="auto"/>
      <w:contextualSpacing/>
      <w:jc w:val="center"/>
    </w:pPr>
    <w:rPr>
      <w:rFonts w:cstheme="majorBidi" w:ascii="Arial" w:hAnsi="Arial"/>
      <w:color w:val="000000"/>
      <w:sz w:val="2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after="0"/>
    </w:pPr>
    <w:rPr>
      <w:rFonts w:cstheme="majorBidi" w:ascii="Arial" w:hAnsi="Arial"/>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480" w:lineRule="auto" w:after="0"/>
    </w:pPr>
    <w:rPr>
      <w:rFonts w:ascii="Arial" w:hAnsi="Arial"/>
      <w:color w:val="000000"/>
      <w:sz w:val="22"/>
      <w:szCs w:val="24"/>
    </w:rPr>
  </w:style>
  <w:style w:styleId="Date" w:type="paragraph">
    <w:name w:val="Date"/>
    <w:basedOn w:val="Title"/>
    <w:next w:val="BodyText"/>
    <w:qFormat/>
    <w:pPr>
      <w:keepNext/>
      <w:keepLines/>
      <w:spacing w:line="480" w:lineRule="auto" w:after="0"/>
    </w:pPr>
    <w:rPr>
      <w:rFonts w:ascii="Arial" w:hAnsi="Arial"/>
      <w:color w:val="000000"/>
      <w:sz w:val="22"/>
      <w:szCs w:val="24"/>
    </w:rPr>
  </w:style>
  <w:style w:customStyle="1" w:styleId="AbstractTitle" w:type="paragraph">
    <w:name w:val="Abstract Title"/>
    <w:basedOn w:val="Normal"/>
    <w:next w:val="Abstract"/>
    <w:qFormat/>
    <w:pPr>
      <w:keepNext/>
      <w:keepLines/>
      <w:spacing w:after="0" w:before="300" w:line="480" w:lineRule="auto"/>
      <w:jc w:val="center"/>
    </w:pPr>
    <w:rPr>
      <w:rFonts w:ascii="Arial" w:hAnsi="Arial"/>
      <w:b/>
      <w:color w:val="000000"/>
      <w:sz w:val="22"/>
      <w:szCs w:val="20"/>
    </w:rPr>
  </w:style>
  <w:style w:customStyle="1" w:styleId="Abstract" w:type="paragraph">
    <w:name w:val="Abstract"/>
    <w:basedOn w:val="Normal"/>
    <w:next w:val="BodyText"/>
    <w:qFormat/>
    <w:pPr>
      <w:keepNext/>
      <w:keepLines/>
      <w:spacing w:after="0" w:before="100" w:line="480" w:lineRule="auto"/>
    </w:pPr>
    <w:rPr>
      <w:rFonts w:ascii="Arial" w:hAnsi="Arial"/>
      <w:color w:val="000000"/>
      <w:sz w:val="22"/>
      <w:szCs w:val="20"/>
    </w:rPr>
  </w:style>
  <w:style w:styleId="Bibliography" w:type="paragraph">
    <w:name w:val="Bibliography"/>
    <w:basedOn w:val="Normal"/>
    <w:next w:val="Bibliography"/>
    <w:qFormat/>
    <w:pPr>
      <w:spacing w:line="480" w:lineRule="auto" w:after="0"/>
    </w:pPr>
    <w:rPr>
      <w:rFonts w:ascii="Arial" w:hAnsi="Arial"/>
      <w:color w:val="000000"/>
      <w:sz w:val="22"/>
    </w:rPr>
  </w:style>
  <w:style w:styleId="Heading1" w:type="paragraph">
    <w:name w:val="heading 1"/>
    <w:basedOn w:val="Normal"/>
    <w:next w:val="BodyText"/>
    <w:link w:val="Heading1Char"/>
    <w:uiPriority w:val="9"/>
    <w:qFormat/>
    <w:rsid w:val="00A10FD9"/>
    <w:pPr>
      <w:keepNext/>
      <w:keepLines/>
      <w:spacing w:after="0" w:before="360" w:line="480" w:lineRule="auto"/>
      <w:outlineLvl w:val="0"/>
    </w:pPr>
    <w:rPr>
      <w:rFonts w:cstheme="majorBidi" w:ascii="Arial" w:hAnsi="Arial"/>
      <w:b/>
      <w:color w:val="000000"/>
      <w:sz w:val="22"/>
      <w:szCs w:val="40"/>
    </w:rPr>
  </w:style>
  <w:style w:styleId="Heading2" w:type="paragraph">
    <w:name w:val="heading 2"/>
    <w:basedOn w:val="Normal"/>
    <w:next w:val="BodyText"/>
    <w:link w:val="Heading2Char"/>
    <w:uiPriority w:val="9"/>
    <w:semiHidden/>
    <w:unhideWhenUsed/>
    <w:qFormat/>
    <w:rsid w:val="00A10FD9"/>
    <w:pPr>
      <w:keepNext/>
      <w:keepLines/>
      <w:spacing w:after="0" w:before="160" w:line="480" w:lineRule="auto"/>
      <w:outlineLvl w:val="1"/>
    </w:pPr>
    <w:rPr>
      <w:rFonts w:cstheme="majorBidi" w:ascii="Arial" w:hAnsi="Arial"/>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0" w:before="160" w:line="480" w:lineRule="auto"/>
      <w:outlineLvl w:val="2"/>
    </w:pPr>
    <w:rPr>
      <w:rFonts w:cstheme="majorBidi" w:ascii="Arial" w:hAnsi="Arial"/>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0" w:before="80" w:line="480" w:lineRule="auto"/>
      <w:outlineLvl w:val="3"/>
    </w:pPr>
    <w:rPr>
      <w:rFonts w:cstheme="majorBidi" w:ascii="Arial" w:hAnsi="Arial"/>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0" w:before="80" w:line="480" w:lineRule="auto"/>
      <w:outlineLvl w:val="4"/>
    </w:pPr>
    <w:rPr>
      <w:rFonts w:cstheme="majorBidi" w:ascii="Arial" w:hAnsi="Arial"/>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outlineLvl w:val="5"/>
    </w:pPr>
    <w:rPr>
      <w:rFonts w:cstheme="majorBidi" w:ascii="Arial" w:hAnsi="Arial"/>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outlineLvl w:val="6"/>
    </w:pPr>
    <w:rPr>
      <w:rFonts w:cstheme="majorBidi" w:ascii="Arial" w:hAnsi="Arial"/>
      <w:color w:val="000000"/>
      <w:sz w:val="22"/>
    </w:rPr>
  </w:style>
  <w:style w:styleId="Heading8" w:type="paragraph">
    <w:name w:val="heading 8"/>
    <w:basedOn w:val="Normal"/>
    <w:next w:val="BodyText"/>
    <w:link w:val="Heading8Char"/>
    <w:uiPriority w:val="9"/>
    <w:semiHidden/>
    <w:unhideWhenUsed/>
    <w:qFormat/>
    <w:rsid w:val="00A10FD9"/>
    <w:pPr>
      <w:keepNext/>
      <w:keepLines/>
      <w:spacing w:after="0" w:line="480" w:lineRule="auto"/>
      <w:outlineLvl w:val="7"/>
    </w:pPr>
    <w:rPr>
      <w:rFonts w:cstheme="majorBidi" w:ascii="Arial" w:hAnsi="Arial"/>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0" w:line="480" w:lineRule="auto"/>
      <w:outlineLvl w:val="8"/>
    </w:pPr>
    <w:rPr>
      <w:rFonts w:cstheme="majorBidi" w:ascii="Arial" w:hAnsi="Arial"/>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100" w:line="480" w:lineRule="auto"/>
      <w:ind w:firstLine="0" w:left="480" w:right="480"/>
    </w:pPr>
    <w:rPr>
      <w:rFonts w:ascii="Arial" w:hAnsi="Arial"/>
      <w:color w:val="000000"/>
      <w:sz w:val="22"/>
    </w:rPr>
  </w:style>
  <w:style w:styleId="FootnoteText" w:type="paragraph">
    <w:name w:val="Footnote Text"/>
    <w:basedOn w:val="Normal"/>
    <w:next w:val="FootnoteText"/>
    <w:uiPriority w:val="9"/>
    <w:unhideWhenUsed/>
    <w:qFormat/>
    <w:pPr>
      <w:spacing w:line="480" w:lineRule="auto" w:after="0"/>
    </w:pPr>
    <w:rPr>
      <w:rFonts w:ascii="Arial" w:hAnsi="Arial"/>
      <w:color w:val="000000"/>
      <w:sz w:val="22"/>
    </w:rPr>
  </w:style>
  <w:style w:styleId="FootnoteBlockText" w:type="paragraph">
    <w:name w:val="Footnote Block Text"/>
    <w:basedOn w:val="FootnoteText"/>
    <w:next w:val="FootnoteText"/>
    <w:uiPriority w:val="9"/>
    <w:unhideWhenUsed/>
    <w:qFormat/>
    <w:pPr>
      <w:spacing w:after="0" w:before="100" w:line="480" w:lineRule="auto"/>
      <w:ind w:firstLine="0" w:left="480" w:right="480"/>
    </w:pPr>
    <w:rPr>
      <w:rFonts w:ascii="Arial" w:hAnsi="Arial"/>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480" w:lineRule="auto"/>
    </w:pPr>
    <w:rPr>
      <w:rFonts w:ascii="Arial" w:hAnsi="Arial"/>
      <w:b/>
      <w:color w:val="000000"/>
      <w:sz w:val="22"/>
    </w:rPr>
  </w:style>
  <w:style w:customStyle="1" w:styleId="Definition" w:type="paragraph">
    <w:name w:val="Definition"/>
    <w:basedOn w:val="Normal"/>
    <w:pPr>
      <w:spacing w:line="480" w:lineRule="auto" w:after="0"/>
    </w:pPr>
    <w:rPr>
      <w:rFonts w:ascii="Arial" w:hAnsi="Arial"/>
      <w:color w:val="000000"/>
      <w:sz w:val="22"/>
    </w:rPr>
  </w:style>
  <w:style w:styleId="Caption" w:type="paragraph">
    <w:name w:val="Caption"/>
    <w:basedOn w:val="Normal"/>
    <w:link w:val="BodyTextChar"/>
    <w:pPr>
      <w:spacing w:after="0" w:before="0" w:line="480" w:lineRule="auto"/>
    </w:pPr>
    <w:rPr>
      <w:rFonts w:ascii="Arial" w:hAnsi="Arial"/>
      <w:i/>
      <w:color w:val="000000"/>
      <w:sz w:val="22"/>
    </w:rPr>
  </w:style>
  <w:style w:customStyle="1" w:styleId="TableCaption" w:type="paragraph">
    <w:name w:val="Table Caption"/>
    <w:basedOn w:val="Caption"/>
    <w:pPr>
      <w:keepNext/>
      <w:spacing w:line="480" w:lineRule="auto" w:after="0"/>
    </w:pPr>
    <w:rPr>
      <w:rFonts w:ascii="Arial" w:hAnsi="Arial"/>
      <w:color w:val="000000"/>
      <w:sz w:val="22"/>
    </w:rPr>
  </w:style>
  <w:style w:customStyle="1" w:styleId="ImageCaption" w:type="paragraph">
    <w:name w:val="Image Caption"/>
    <w:basedOn w:val="Caption"/>
    <w:pPr>
      <w:spacing w:line="480" w:lineRule="auto" w:after="0"/>
    </w:pPr>
    <w:rPr>
      <w:rFonts w:ascii="Arial" w:hAnsi="Arial"/>
      <w:color w:val="000000"/>
      <w:sz w:val="22"/>
    </w:rPr>
  </w:style>
  <w:style w:customStyle="1" w:styleId="Figure" w:type="paragraph">
    <w:name w:val="Figure"/>
    <w:basedOn w:val="Normal"/>
    <w:pPr>
      <w:spacing w:line="480" w:lineRule="auto" w:after="0"/>
    </w:pPr>
    <w:rPr>
      <w:rFonts w:ascii="Arial" w:hAnsi="Arial"/>
      <w:color w:val="000000"/>
      <w:sz w:val="22"/>
    </w:rPr>
  </w:style>
  <w:style w:customStyle="1" w:styleId="CaptionedFigure" w:type="paragraph">
    <w:name w:val="Captioned Figure"/>
    <w:basedOn w:val="Figure"/>
    <w:pPr>
      <w:keepNext/>
      <w:spacing w:line="480" w:lineRule="auto" w:after="0"/>
    </w:pPr>
    <w:rPr>
      <w:rFonts w:ascii="Arial" w:hAnsi="Arial"/>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480" w:lineRule="auto" w:after="0"/>
      <w:outlineLvl w:val="9"/>
    </w:pPr>
    <w:rPr>
      <w:rFonts w:cstheme="majorBidi" w:ascii="Arial" w:hAnsi="Arial"/>
      <w:b w:val="0"/>
      <w:bCs w:val="0"/>
      <w:color w:val="000000"/>
      <w:sz w:val="22"/>
    </w:rPr>
  </w:style>
  <w:style w:type="paragraph" w:customStyle="1" w:styleId="SourceCode">
    <w:name w:val="Source Code"/>
    <w:basedOn w:val="Normal"/>
    <w:link w:val="VerbatimChar"/>
    <w:pPr>
      <w:wordWrap w:val="off"/>
      <w:spacing w:line="480" w:lineRule="auto" w:after="0"/>
    </w:pPr>
    <w:rPr>
      <w:rFonts w:ascii="Arial" w:hAnsi="Arial"/>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alisalman-et-al.github.io/arbiter-JAMIA/results.html" TargetMode="External"/><Relationship Id="rId36" Type="http://schemas.openxmlformats.org/officeDocument/2006/relationships/hyperlink" Target="https://alisalman-et-al.github.io/arbiter-JAMIA/supplement.html" TargetMode="External"/><Relationship Id="rId52" Type="http://schemas.openxmlformats.org/officeDocument/2006/relationships/hyperlink" Target="https://doi.org/10.1002/cesm.70044" TargetMode="External"/><Relationship Id="rId51" Type="http://schemas.openxmlformats.org/officeDocument/2006/relationships/hyperlink" Target="https://doi.org/10.1016/j.ebiom.2026.106238" TargetMode="External"/><Relationship Id="rId59" Type="http://schemas.openxmlformats.org/officeDocument/2006/relationships/hyperlink" Target="https://doi.org/10.1016/j.jclinepi.2010.03.002" TargetMode="External"/><Relationship Id="rId40" Type="http://schemas.openxmlformats.org/officeDocument/2006/relationships/hyperlink" Target="https://doi.org/10.1016/j.jclinepi.2020.06.015" TargetMode="External"/><Relationship Id="rId41" Type="http://schemas.openxmlformats.org/officeDocument/2006/relationships/hyperlink" Target="https://doi.org/10.1016/j.jclinepi.2021.09.021" TargetMode="External"/><Relationship Id="rId55" Type="http://schemas.openxmlformats.org/officeDocument/2006/relationships/hyperlink" Target="https://doi.org/10.1017/rsm.2025.12" TargetMode="External"/><Relationship Id="rId56" Type="http://schemas.openxmlformats.org/officeDocument/2006/relationships/hyperlink" Target="https://doi.org/10.1017/rsm.2026.10073" TargetMode="External"/><Relationship Id="rId58" Type="http://schemas.openxmlformats.org/officeDocument/2006/relationships/hyperlink" Target="https://doi.org/10.1038/s41591-024-03425-5" TargetMode="External"/><Relationship Id="rId46" Type="http://schemas.openxmlformats.org/officeDocument/2006/relationships/hyperlink" Target="https://doi.org/10.1093/jamia/ocv044" TargetMode="External"/><Relationship Id="rId44" Type="http://schemas.openxmlformats.org/officeDocument/2006/relationships/hyperlink" Target="https://doi.org/10.11124/JBIES-25-00480" TargetMode="External"/><Relationship Id="rId39" Type="http://schemas.openxmlformats.org/officeDocument/2006/relationships/hyperlink" Target="https://doi.org/10.1136/bmj.l4898" TargetMode="External"/><Relationship Id="rId50" Type="http://schemas.openxmlformats.org/officeDocument/2006/relationships/hyperlink" Target="https://doi.org/10.1136/bmjebm-2025-114055" TargetMode="External"/><Relationship Id="rId42" Type="http://schemas.openxmlformats.org/officeDocument/2006/relationships/hyperlink" Target="https://doi.org/10.1136/bmjopen-2018-028382" TargetMode="External"/><Relationship Id="rId61" Type="http://schemas.openxmlformats.org/officeDocument/2006/relationships/hyperlink" Target="https://doi.org/10.1186/s12874-025-02763-3" TargetMode="External"/><Relationship Id="rId43" Type="http://schemas.openxmlformats.org/officeDocument/2006/relationships/hyperlink" Target="https://doi.org/10.1186/s13063-024-08145-2" TargetMode="External"/><Relationship Id="rId48" Type="http://schemas.openxmlformats.org/officeDocument/2006/relationships/hyperlink" Target="https://doi.org/10.1371/journal.pone.0353155" TargetMode="External"/><Relationship Id="rId45" Type="http://schemas.openxmlformats.org/officeDocument/2006/relationships/hyperlink" Target="https://doi.org/10.17605/OSF.IO/FWAUD" TargetMode="External"/><Relationship Id="rId60" Type="http://schemas.openxmlformats.org/officeDocument/2006/relationships/hyperlink" Target="https://doi.org/10.18653/v1/2023.findings-emnlp.467" TargetMode="External"/><Relationship Id="rId47" Type="http://schemas.openxmlformats.org/officeDocument/2006/relationships/hyperlink" Target="https://doi.org/10.18653/v1/2025.emnlp-demos.2" TargetMode="External"/><Relationship Id="rId49" Type="http://schemas.openxmlformats.org/officeDocument/2006/relationships/hyperlink" Target="https://doi.org/10.2196/70450" TargetMode="External"/><Relationship Id="rId53" Type="http://schemas.openxmlformats.org/officeDocument/2006/relationships/hyperlink" Target="https://doi.org/10.2196/84915" TargetMode="External"/><Relationship Id="rId54" Type="http://schemas.openxmlformats.org/officeDocument/2006/relationships/hyperlink" Target="https://doi.org/10.63528/jebp.2026.00011" TargetMode="External"/><Relationship Id="rId62" Type="http://schemas.openxmlformats.org/officeDocument/2006/relationships/hyperlink" Target="https://doi.org/10.64898/2026.09.22.26363693" TargetMode="External"/><Relationship Id="rId57" Type="http://schemas.openxmlformats.org/officeDocument/2006/relationships/hyperlink" Target="https://doi.org/10.7326/ANNALS-25-00739" TargetMode="External"/><Relationship Id="rId19" Type="http://schemas.openxmlformats.org/officeDocument/2006/relationships/hyperlink" Target="https://github.com/AliSalman-et-al/ARBITER/" TargetMode="External"/><Relationship Id="rId20" Type="http://schemas.openxmlformats.org/officeDocument/2006/relationships/hyperlink" Target="https://github.com/AliSalman-et-al/ARBITER/tree/2f549ae30f056ff441ea61a04b719968716f2219" TargetMode="External"/><Relationship Id="rId34" Type="http://schemas.openxmlformats.org/officeDocument/2006/relationships/hyperlink" Target="https://github.com/AliSalman-et-al/arbiter-JAMIA"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5" Type="http://schemas.openxmlformats.org/officeDocument/2006/relationships/hyperlink" Target="https://alisalman-et-al.github.io/arbiter-JAMIA/results.html" TargetMode="External"/><Relationship Id="rId36" Type="http://schemas.openxmlformats.org/officeDocument/2006/relationships/hyperlink" Target="https://alisalman-et-al.github.io/arbiter-JAMIA/supplement.html" TargetMode="External"/><Relationship Id="rId52" Type="http://schemas.openxmlformats.org/officeDocument/2006/relationships/hyperlink" Target="https://doi.org/10.1002/cesm.70044" TargetMode="External"/><Relationship Id="rId51" Type="http://schemas.openxmlformats.org/officeDocument/2006/relationships/hyperlink" Target="https://doi.org/10.1016/j.ebiom.2026.106238" TargetMode="External"/><Relationship Id="rId59" Type="http://schemas.openxmlformats.org/officeDocument/2006/relationships/hyperlink" Target="https://doi.org/10.1016/j.jclinepi.2010.03.002" TargetMode="External"/><Relationship Id="rId40" Type="http://schemas.openxmlformats.org/officeDocument/2006/relationships/hyperlink" Target="https://doi.org/10.1016/j.jclinepi.2020.06.015" TargetMode="External"/><Relationship Id="rId41" Type="http://schemas.openxmlformats.org/officeDocument/2006/relationships/hyperlink" Target="https://doi.org/10.1016/j.jclinepi.2021.09.021" TargetMode="External"/><Relationship Id="rId55" Type="http://schemas.openxmlformats.org/officeDocument/2006/relationships/hyperlink" Target="https://doi.org/10.1017/rsm.2025.12" TargetMode="External"/><Relationship Id="rId56" Type="http://schemas.openxmlformats.org/officeDocument/2006/relationships/hyperlink" Target="https://doi.org/10.1017/rsm.2026.10073" TargetMode="External"/><Relationship Id="rId58" Type="http://schemas.openxmlformats.org/officeDocument/2006/relationships/hyperlink" Target="https://doi.org/10.1038/s41591-024-03425-5" TargetMode="External"/><Relationship Id="rId46" Type="http://schemas.openxmlformats.org/officeDocument/2006/relationships/hyperlink" Target="https://doi.org/10.1093/jamia/ocv044" TargetMode="External"/><Relationship Id="rId44" Type="http://schemas.openxmlformats.org/officeDocument/2006/relationships/hyperlink" Target="https://doi.org/10.11124/JBIES-25-00480" TargetMode="External"/><Relationship Id="rId39" Type="http://schemas.openxmlformats.org/officeDocument/2006/relationships/hyperlink" Target="https://doi.org/10.1136/bmj.l4898" TargetMode="External"/><Relationship Id="rId50" Type="http://schemas.openxmlformats.org/officeDocument/2006/relationships/hyperlink" Target="https://doi.org/10.1136/bmjebm-2025-114055" TargetMode="External"/><Relationship Id="rId42" Type="http://schemas.openxmlformats.org/officeDocument/2006/relationships/hyperlink" Target="https://doi.org/10.1136/bmjopen-2018-028382" TargetMode="External"/><Relationship Id="rId61" Type="http://schemas.openxmlformats.org/officeDocument/2006/relationships/hyperlink" Target="https://doi.org/10.1186/s12874-025-02763-3" TargetMode="External"/><Relationship Id="rId43" Type="http://schemas.openxmlformats.org/officeDocument/2006/relationships/hyperlink" Target="https://doi.org/10.1186/s13063-024-08145-2" TargetMode="External"/><Relationship Id="rId48" Type="http://schemas.openxmlformats.org/officeDocument/2006/relationships/hyperlink" Target="https://doi.org/10.1371/journal.pone.0353155" TargetMode="External"/><Relationship Id="rId45" Type="http://schemas.openxmlformats.org/officeDocument/2006/relationships/hyperlink" Target="https://doi.org/10.17605/OSF.IO/FWAUD" TargetMode="External"/><Relationship Id="rId60" Type="http://schemas.openxmlformats.org/officeDocument/2006/relationships/hyperlink" Target="https://doi.org/10.18653/v1/2023.findings-emnlp.467" TargetMode="External"/><Relationship Id="rId47" Type="http://schemas.openxmlformats.org/officeDocument/2006/relationships/hyperlink" Target="https://doi.org/10.18653/v1/2025.emnlp-demos.2" TargetMode="External"/><Relationship Id="rId49" Type="http://schemas.openxmlformats.org/officeDocument/2006/relationships/hyperlink" Target="https://doi.org/10.2196/70450" TargetMode="External"/><Relationship Id="rId53" Type="http://schemas.openxmlformats.org/officeDocument/2006/relationships/hyperlink" Target="https://doi.org/10.2196/84915" TargetMode="External"/><Relationship Id="rId54" Type="http://schemas.openxmlformats.org/officeDocument/2006/relationships/hyperlink" Target="https://doi.org/10.63528/jebp.2026.00011" TargetMode="External"/><Relationship Id="rId62" Type="http://schemas.openxmlformats.org/officeDocument/2006/relationships/hyperlink" Target="https://doi.org/10.64898/2026.09.22.26363693" TargetMode="External"/><Relationship Id="rId57" Type="http://schemas.openxmlformats.org/officeDocument/2006/relationships/hyperlink" Target="https://doi.org/10.7326/ANNALS-25-00739" TargetMode="External"/><Relationship Id="rId19" Type="http://schemas.openxmlformats.org/officeDocument/2006/relationships/hyperlink" Target="https://github.com/AliSalman-et-al/ARBITER/" TargetMode="External"/><Relationship Id="rId20" Type="http://schemas.openxmlformats.org/officeDocument/2006/relationships/hyperlink" Target="https://github.com/AliSalman-et-al/ARBITER/tree/2f549ae30f056ff441ea61a04b719968716f2219" TargetMode="External"/><Relationship Id="rId34" Type="http://schemas.openxmlformats.org/officeDocument/2006/relationships/hyperlink" Target="https://github.com/AliSalman-et-al/arbiter-JAM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2026-10-23T08:14:24Z</dcterms:created>
  <dcterms:modified xsi:type="dcterms:W3CDTF">2026-10-23T08:14:24Z</dcterms:modified>
</cp:coreProperties>
</file>

<file path=docProps/custom.xml><?xml version="1.0" encoding="utf-8"?>
<Properties xmlns="http://schemas.openxmlformats.org/officeDocument/2006/custom-properties" xmlns:vt="http://schemas.openxmlformats.org/officeDocument/2006/docPropsVTypes"/>
</file>