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1512"/>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 / population / 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 Published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(0.72–0.79)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(0.78–0.85)</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(0.49–0.67)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(0.84–1.00)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(0.44–0.67)</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(0.74–0.81)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(0.40–0.60)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(0.82–0.89)</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(0.51–0.68)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(0.50–0.78)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(0.66–0.87)</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(0.81–0.86)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(1.00–1.00)</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(0.44–0.59)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 Composite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(0.96–0.99)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118/127 (92.9%) (0.89–0.97)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356/358 (99.4%) (0.99–1.00)</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82/127 (64.6%) (0.56–0.73)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349/358 (97.5%) (0.96–0.99)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3. Paired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(0.07–0.24)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(−0.08 to −0.01)</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(−0.11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(0.16–0.40)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(−0.33 to −0.10)</w:t>
            </w:r>
          </w:p>
        </w:tc>
      </w:tr>
      <w:tr>
        <w:trPr>
          <w:cantSplit/>
          <w:trHeight w:val="922"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(0.07–0.12)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(0.20–0.37)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proportions. Not Low means Some concerns or High. All-Low rule has no variance; only accuracy and specificity are reported. Paired differences are on the original coefficient or proportion scale;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composite accuracy is not an abstract accuracy claim.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2026-10-18T17:39:13Z</dcterms:modified>
  <cp:category/>
</cp:coreProperties>
</file>