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RoB 2 rule consistency and audit (95% CI)</w:t>
      </w:r>
    </w:p>
    <w:tbl xmlns:a="http://schemas.openxmlformats.org/drawingml/2006/main" xmlns:pic="http://schemas.openxmlformats.org/drawingml/2006/picture">
      <w:tblPr>
        <w:tblLayout w:type="fixed"/>
        <w:jc w:val="center"/>
        <w:tblLook w:firstRow="1" w:lastRow="0" w:firstColumn="0" w:lastColumn="0" w:noHBand="0" w:noVBand="1"/>
      </w:tblPr>
      <w:tblGrid>
        <w:gridCol w:w="3888"/>
        <w:gridCol w:w="2988"/>
        <w:gridCol w:w="29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Consistent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 (1.00–1.00)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 (0.84–0.90)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(0.03–0.07)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(0.06–0.10)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(0.10–0.16)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 (0.00–0.03)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Evidence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Text-span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Visual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Structural evidence binding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Bundle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(95% CI, bounds as proportions). Domain consistency for ARBITER refers to proposals; recorded overrides are separate. Departure = violation + invalid path. One Unassisted domain has no evaluable label/answer set and is excluded (509 evaluable). Overall consistency is exact worst-domain agreement; permitted escalations are separate.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2026-10-18T17:39:14Z</dcterms:modified>
  <cp:category/>
</cp:coreProperties>
</file>