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992"/>
        <w:gridCol w:w="1992"/>
        <w:gridCol w:w="1992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independent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(0.68–0.80)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preferred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(0.79–0.89)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(0.16–0.28)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(0.63–0.76)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(0.38–0.52)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(0.20–0.34)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(0.72–0.84)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(0.42–0.56)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on the proportion scale.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2026-10-18T17:39:14Z</dcterms:modified>
  <cp:category/>
</cp:coreProperties>
</file>