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3. Process checks and computational resources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3817"/>
        <w:gridCol w:w="1587"/>
        <w:gridCol w:w="2098"/>
        <w:gridCol w:w="2362"/>
      </w:tblGrid>
      <w:tr>
        <w:trPr>
          <w:cantSplit/>
          <w:tblHeader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Measure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ARBITER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Unassisted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Paired mean difference (95% CI)</w:t>
            </w:r>
          </w:p>
        </w:tc>
      </w:tr>
      <w:tr>
        <w:trPr>
          <w:cantSplit/>
        </w:trPr>
        <w:tc>
          <w:tcPr>
            <w:gridSpan w:val="4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A. Rule conformance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Domain outputs reproduced from proposals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510/510 (100.0%)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contradicts its own answers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26/509 (5.1%; 3.3–6.9)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Required question skipped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39/509 (7.7%; 5.7–10.0)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Any rule break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 by design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65/509 (12.8%; 10.0–15.6)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B. Structural record checks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Answers citing ≥1 passage or image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1,538/1,538 (100.0%)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Quoted text linked to its source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1,407/1,407 (100.0%)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Image regions linked to their page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14/14 (100%)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Audit file passes the independent verifier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102/102 (100.0%)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Not available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4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nil" w:sz="0" w:color="666666"/>
              <w:start w:val="nil" w:sz="0" w:color="666666"/>
              <w:end w:val="nil" w:sz="0" w:color="666666"/>
            </w:tcBorders>
            <w:shd w:fill="F4F4F4"/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  <w:b/>
              </w:rPr>
              <w:t xml:space="default">C. Computational resources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Runtime (minutes/trial), median (IQR)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7.6 (6.1–10.5)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0.5 (0.4–0.5)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11.0 (8.4–14.1)</w:t>
            </w:r>
          </w:p>
        </w:tc>
      </w:tr>
      <w:tr>
        <w:trPr>
          <w:cantSplit/>
        </w:trPr>
        <w:tc>
          <w:tcPr>
            <w:tcW w:type="dxa" w:w="381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API list-price equivalent (US$/trial), median (IQR)</w:t>
            </w:r>
          </w:p>
        </w:tc>
        <w:tc>
          <w:tcPr>
            <w:tcW w:type="dxa" w:w="1587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3.78 (3.46–4.10)</w:t>
            </w:r>
          </w:p>
        </w:tc>
        <w:tc>
          <w:tcPr>
            <w:tcW w:type="dxa" w:w="209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0.09 (0.07–0.13)</w:t>
            </w:r>
          </w:p>
        </w:tc>
        <w:tc>
          <w:tcPr>
            <w:tcW w:type="dxa" w:w="236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3.68 (3.61–3.75)</w:t>
            </w:r>
          </w:p>
        </w:tc>
      </w:tr>
      <w:tr>
        <w:trPr>
          <w:cantSplit/>
        </w:trPr>
        <w:tc>
          <w:tcPr>
            <w:gridSpan w:val="4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Unassisted rule-break cells show No./total (%; 95% CI); CI bounds are percentages. Domain rules use evaluable ratings (ARBITER 510; Unassisted 509); one Unassisted cell is unevaluable. Evidence denominators count active answers or distinct evidence records as indicated; verifier denominator is 102 bundles. ARBITER has no recorded domain overrides; one Overall escalation is permitted. Evidence checks establish quotation occurrence and structural binding, without assessing answer support. Runtime and API list-price equivalents use 102 paired trials; source summaries are median (IQR), contrasts are paired mean differences. Cost is a frozen-rate equivalent, not expenditure. — means not applicable; Not available means not measured. CI, 95%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2026-10-22T17:29:33Z</dcterms:modified>
  <cp:category/>
</cp:coreProperties>
</file>