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ARBITER detected more of the risk flagged by published reviews, at lower specificity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4"/>
        <w:gridCol w:w="1944"/>
        <w:gridCol w:w="1944"/>
        <w:gridCol w:w="1944"/>
        <w:gridCol w:w="208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D1⁠–⁠D5 (510 cells); Some concerns or High: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66.3%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81.3%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50.6%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85.7%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83.7%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Some concerns or High: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58.0%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92.3%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59.3%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51.9%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D1⁠–⁠D5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 to 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 to 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 to 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means published review label. Values are coefficients or percentages (95% CI); denominators are in block labels. ¹ Sensitivity for Some concerns or High; specificity is the share of published Low ratings also rated Low. All-Low rule has no variance; only accuracy and specificity are reported. Paired differences are coefficients or percentage points; — indicates undefined or not applicable. AC2 and composite-reference results: eTables 6 and 11. Full paired differences: eTables 7 and 12. Overall judgements were not adjudicated. Published labels were frequently less severe than the adjudicators’ agreed choice (Figure 4).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2026-10-19T10:14:16Z</dcterms:modified>
  <cp:category/>
</cp:coreProperties>
</file>