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TRIPOD-LLM and GRRAS checklist skeleton</w:t>
      </w:r>
    </w:p>
    <w:p>
      <w:pPr>
        <w:pStyle w:val="ManuscriptBody"/>
      </w:pPr>
      <w:r>
        <w:t xml:space="preserve">Abbreviated topic labels map to official item identifiers. Authors must assess applicability and complete Page, Section and Notes against the full checklists. This skeleton is not a claim of reporting compliance.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Page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Notes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Intended users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Text 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Inference settings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Generative metrics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Metric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 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Assessors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Comparators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guidance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agreement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Annotator experience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Summarization 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Alignment evaluation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Conflicts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Protocol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Registration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Public involvement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distributions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updating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challenges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Implementation scope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 inputs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User expertise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Future research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Title/abstract identification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Measurement instrument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Rater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 size 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process and blinding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ratings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Statistical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Actual sample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Sample/rater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Estimates and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Practical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Detailed results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TRIPOD-LLM: https://www.tripod-statement.org/wp-content/uploads/2025/01/TRIPOD-LLM-Checklist.pdf; GRRAS: https://www.equator-network.org/wp-content/uploads/2012/12/GRRAS-checklist-for-reporting-of-studies-of-reliability-and-agreement.pdf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2026-10-19T01:58:47Z</dcterms:modified>
  <cp:category/>
</cp:coreProperties>
</file>