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Sixteen meta-analyses across 15 specialties supplied the benchmark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18"/>
        <w:gridCol w:w="2304"/>
        <w:gridCol w:w="504"/>
        <w:gridCol w:w="2405"/>
        <w:gridCol w:w="576"/>
        <w:gridCol w:w="1109"/>
        <w:gridCol w:w="77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Specialty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Journal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Trials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Published D1–D5 labels, Low / SC / High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given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medicine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JAMA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SGLT2 inhibitors and kidney outcomes across eGFR and albuminuria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medicine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Clopidogrel vs aspirin for secondary prevention of coronary artery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/ 3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 Am Coll Cardiol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Early aortic valve replacement vs surveillance in asymptomatic severe aortic stenosis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Diabetes Endocrinol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GLP-1 receptor agonists and kidney and cardiovascular outcomes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Gastroenterology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Gastroenterology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GLP-1 receptor agonists and gastrointestinal adverse events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/ 4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Infectious diseases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 Infect Dis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Safety of high-dose rifampin in tuberculosis 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Nephrology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 J Am Soc Nephrol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Therapies for proteinuria and eGFR decline in IgA nephropathy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5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Neurol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Pharmacotherapy and non-invasive neuromodulation for neuropathic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/ 7 /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Obstetrics and gynaecology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Hum Reprod Update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Preconception lifestyle interventions for women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/ 10 /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Oncology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Oncol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CDK4/6 inhibitors plus endocrine therapy in HR-positive, HER2-negative advanced breast 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Orthopaedics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Am J Sports 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Lateral extra-articular procedure added to primary ACL reconstruction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/ 3 /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Paediatrics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JAMA Pediatr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Active treatment vs expectant management of patent ductus arteriosus in preterm infants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/ 6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Psychiatry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Psychiatry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Cannabinoids for mental and substance use 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/ 6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Pulmonary and critical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Respir 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Preoxygenation strategies for intubation in critically ill patients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/ 0 /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Rheumatology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Rheumatol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Long-term effectiveness of non-surgical interventions for chronic low back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/ 23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Surgery and anaesthesia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 J Anaesth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Home-based prehabilitation before surgery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2 /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 / 69 / 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/ 102</w:t>
            </w:r>
          </w:p>
        </w:tc>
      </w:tr>
      <w:tr>
        <w:trPr>
          <w:cantSplit/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SC, Some concerns; RoB 2, risk of bias tool for randomised trials. Counts are published labels pooled across D1–D5. Per-domain distributions: eTable 8. Overall given indicates whether published Overall labels are available; total is labelled trials/all trials. The analysis excludes three unsupported-design trials from all arms. Metadata are curated from the source meta-analyses. ACL, anterior cruciate ligament; CDK4/6, cyclin-dependent kinases 4 and 6; eGFR, estimated glomerular filtration rate; GLP-1, glucagon-like peptide-1; HER2, human epidermal growth factor receptor 2; HR, hormone receptor; IgA, immunoglobulin A; SGLT2, sodium-glucose cotransporter 2.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2026-10-19T01:58:00Z</dcterms:modified>
  <cp:category/>
</cp:coreProperties>
</file>