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ARBITER detected more of the risk the published reviews flagged, with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positive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positive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uses Low as negative. All-Low rule has no variance; only accuracy and specificity are reported. Paired differences are coefficients or percentage points; — indicates undefined or not applicable. AC2 and composite-reference results: eTables 9 and 10. Full paired differences: eTables 11–12. Overall judgements were not adjudicated. Published labels were frequently less severe than the adjudicators’ preferred judgement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2026-10-19T01:58:00Z</dcterms:modified>
  <cp:category/>
</cp:coreProperties>
</file>