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Without ARBITER, 1 in 8 domain ratings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4248"/>
        <w:gridCol w:w="3168"/>
        <w:gridCol w:w="24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in Unassisted departure-type cells, the range after the semicolon is the 95% CI in percent. ARBITER: no departures by design — the server computes every rating with the official algorithm and rejects incomplete answer paths. These rows concern Sonnet proposals; recorded model overrides are reported in the supplement.  Full consistency, invalid-path sensitivity and recorded overrides: eTables 13–15.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2026-10-19T01:58:01Z</dcterms:modified>
  <cp:category/>
</cp:coreProperties>
</file>