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4. Before seeing any label, both adjudicators’ own ratings agreed with ARBITER far more than with the unassisted model or the published review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464"/>
        <w:gridCol w:w="2376"/>
        <w:gridCol w:w="3024"/>
      </w:tblGrid>
      <w:tr>
        <w:trPr>
          <w:cantSplit/>
          <w:trHeight w:val="496" w:hRule="auto"/>
          <w:tblHeader/>
        </w:trPr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Comparison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Weighted κ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Raw agreement</w:t>
            </w:r>
          </w:p>
        </w:tc>
      </w:tr>
      <w:tr>
        <w:trPr>
          <w:cantSplit/>
          <w:trHeight w:val="480" w:hRule="auto"/>
        </w:trPr>
        <w:tc>
          <w:tcPr>
            <w:gridSpan w:val="3"/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Between adjudicators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Independent judgements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0.59 (0.48–0.68)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114/154 (74.0%) (68.2–79.9)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Preferred judgements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 (0.57–0.79)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129/154 (83.8%) (78.6–88.9)</w:t>
            </w:r>
          </w:p>
        </w:tc>
      </w:tr>
      <w:tr>
        <w:trPr>
          <w:cantSplit/>
          <w:trHeight w:val="480" w:hRule="auto"/>
        </w:trPr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Adjudicator 1 independent vs …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−0.08 (−0.17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34/154 (22.1%) (15.8–28.5)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ARBITER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0.52 (0.41–0.62)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107/154 (69.5%) (62.7–76.0)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Unassisted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0.22 (0.13–0.30)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69/154 (44.8%) (38.1–51.6)</w:t>
            </w:r>
          </w:p>
        </w:tc>
      </w:tr>
      <w:tr>
        <w:trPr>
          <w:cantSplit/>
          <w:trHeight w:val="480" w:hRule="auto"/>
        </w:trPr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Adjudicator 2 independent vs …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−0.08 (−0.18 to 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42/154 (27.3%) (20.4–34.3)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ARBITER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0.67 (0.56–0.76)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120/154 (77.9%) (71.7–84.0)</w:t>
            </w:r>
          </w:p>
        </w:tc>
      </w:tr>
      <w:tr>
        <w:trPr>
          <w:cantSplit/>
          <w:trHeight w:val="49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Unassisted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 (0.19–0.42)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76/154 (49.4%) (42.2–56.5)</w:t>
            </w:r>
          </w:p>
        </w:tc>
      </w:tr>
      <w:tr>
        <w:trPr>
          <w:cantSplit/>
          <w:trHeight w:val="360" w:hRule="auto"/>
        </w:trPr>
        <w:tc>
          <w:tcPr>
            <w:gridSpan w:val="3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All comparisons use the 154 disputed cells, selected because at least one Sonnet arm differed from Published. These comparisons cannot estimate agreement or published-label accuracy in the full benchmark. Independent judgements preceded blinded label presentation; preferred judgements selected among the three offered labels. Linearly weighted Cohen’s κ; AC2 is in eTable 16; raw agreement as n/N (%) with CI bounds in %. CI, confidence interval; 10,000 percentile bootstrap replicates, trials resampled within meta-analysis; seed 20261018.</w:t>
            </w:r>
          </w:p>
        </w:tc>
      </w:tr>
    </w:tbl>
    <w:sectPr>
      <w:pgMar w:header="708" w:bottom="864" w:top="864" w:right="936" w:left="936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xmlns:w="http://schemas.openxmlformats.org/wordprocessingml/2006/main" w:type="paragraph" w:customStyle="1" w:styleId="Titre1">
    <w:name w:val="heading 1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120" w:before="16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4"/>
      <w:szCs w:val="24"/>
      <w:color w:val="000000"/>
    </w:rPr>
  </w:style>
  <w:style xmlns:w="http://schemas.openxmlformats.org/wordprocessingml/2006/main" w:type="paragraph" w:customStyle="1" w:styleId="Titre2">
    <w:name w:val="heading 2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80" w:before="12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0"/>
      <w:szCs w:val="20"/>
      <w:color w:val="000000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  <w:style xmlns:w="http://schemas.openxmlformats.org/wordprocessingml/2006/main" w:type="paragraph" w:customStyle="1" w:styleId="ManuscriptBody">
    <w:name w:val="Manuscript body"/>
    <w:basedOn w:val="Normal"/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Pr>
      <w:rFonts w:ascii="Arial" w:hAnsi="Arial" w:eastAsia="Arial" w:cs="Arial"/>
      <w:i w:val="false"/>
      <w:b w:val="false"/>
      <w:u w:val="none"/>
      <w:strike w:val="false"/>
      <w:sz w:val="20"/>
      <w:szCs w:val="20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2026-10-19T01:58:02Z</dcterms:modified>
  <cp:category/>
</cp:coreProperties>
</file>