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Benchmark set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18"/>
        <w:gridCol w:w="2304"/>
        <w:gridCol w:w="504"/>
        <w:gridCol w:w="2405"/>
        <w:gridCol w:w="576"/>
        <w:gridCol w:w="1109"/>
        <w:gridCol w:w="77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Specialty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Journal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Trials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Published D1–D5 labels, Low / SC / High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given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medicine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JAMA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SGLT2 inhibitors and kidney outcomes across eGFR and albuminuria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medicine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Clopidogrel vs aspirin for secondary prevention of coronary artery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/ 3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 Am Coll Cardiol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Early aortic valve replacement vs surveillance in asymptomatic severe aortic stenosis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Diabetes Endocrinol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GLP-1 receptor agonists and kidney and cardiovascular outcomes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Gastroenterology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Gastroenterology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GLP-1 receptor agonists and gastrointestinal adverse events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/ 4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Infectious diseases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 Infect Dis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Safety of high-dose rifampin in tuberculosis 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Nephrology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 J Am Soc Nephrol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Therapies for proteinuria and eGFR decline in IgA nephropathy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5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Neurol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Pharmacotherapy and non-invasive neuromodulation for neuropathic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/ 7 /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Obstetrics and gynaecology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Hum Reprod Update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Preconception lifestyle interventions for women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/ 10 /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Oncology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Oncol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CDK4/6 inhibitors plus endocrine therapy in HR-positive, HER2-negative advanced breast 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Orthopaedics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Am J Sports 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Lateral extra-articular procedure added to primary ACL reconstruction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/ 3 /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Paediatrics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JAMA Pediatr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Active treatment vs expectant management of patent ductus arteriosus in preterm infants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/ 6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Psychiatry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Psychiatry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Cannabinoids for mental and substance use 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/ 6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Pulmonary and critical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Respir 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Preoxygenation strategies for intubation in critically ill patients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/ 0 /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Rheumatology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Rheumatol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Long-term effectiveness of non-surgical interventions for chronic low back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/ 23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Surgery and anaesthesia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 J Anaesth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Home-based prehabilitation before surgery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2 /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 / 69 / 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/ 102</w:t>
            </w:r>
          </w:p>
        </w:tc>
      </w:tr>
      <w:tr>
        <w:trPr>
          <w:cantSplit/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SC, Some concerns; RoB 2, risk of bias tool for randomised trials. Counts are published labels pooled across D1–D5. Overall given indicates whether published Overall labels are available; total is labelled trials/all trials. The analysis excludes three unsupported-design trials from all arms. Metadata are curated from the source meta-analyses. ACL, anterior cruciate ligament; CDK4/6, cyclin-dependent kinases 4 and 6; eGFR, estimated glomerular filtration rate; GLP-1, glucagon-like peptide-1; HER2, human epidermal growth factor receptor 2; HR, hormone receptor; IgA, immunoglobulin A; SGLT2, sodium-glucose cotransporter 2.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2026-10-18T21:52:50Z</dcterms:modified>
  <cp:category/>
</cp:coreProperties>
</file>