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Reliability of the reference standard (95% CI)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992"/>
        <w:gridCol w:w="1992"/>
        <w:gridCol w:w="2549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AC2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(0.61–0.77)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Preferred judgements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(0.77–0.89)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(78.6–88.9)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(−0.18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(0.57–0.74)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(0.18–0.38)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(38.1–51.6)</w:t>
            </w:r>
          </w:p>
        </w:tc>
      </w:tr>
      <w:tr>
        <w:trPr>
          <w:cantSplit/>
          <w:trHeight w:val="48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(0.73–0.85)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(0.37–0.53)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(42.2–56.5)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κ; Gwet’s AC2; raw agreement as n/N (%) with CI bounds in %.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2026-10-18T21:52:52Z</dcterms:modified>
  <cp:category/>
</cp:coreProperties>
</file>