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reporting map</w:t>
      </w:r>
    </w:p>
    <w:p>
      <w:pPr>
        <w:pStyle w:val="ManuscriptBody"/>
      </w:pPr>
      <w:r>
        <w:t xml:space="preserve">Abbreviated topic labels map to official item identifiers. Locations identify the manuscript display or supplement section; author declarations and rater credentials marked for author completion remain open. Page numbers are left to final manuscript pagination.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eTable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parity; prompt templates; 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eTable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a filled example; eTable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eTables 1–2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N/A for individual-patient distributions: report-level benchmark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supplementary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Algorithms and validation;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Adjudication process and primary endpoint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Inference and references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2026-10-19T11:18:53Z</dcterms:modified>
  <cp:category/>
</cp:coreProperties>
</file>