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ARBITER combines rule enforcement, quotation checks and blinded adjudication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792"/>
        <w:gridCol w:w="1224"/>
        <w:gridCol w:w="1008"/>
        <w:gridCol w:w="1080"/>
        <w:gridCol w:w="691"/>
        <w:gridCol w:w="792"/>
        <w:gridCol w:w="1411"/>
        <w:gridCol w:w="1296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Study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in code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Rules enforced during assessment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breaks measured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Quotations verified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Audit file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Agent with tools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Independent reference or adjudication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Registry or protocol given to the model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Marshall 2016] (RoB 1) [k]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Eisele-Metzger 2025] [a]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Huang 2025] [b]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Lai 2026] [c]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Nyrhi 2026] [d]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Gandhi 2026] [e]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Choi 2026] [f]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Hevia 2025] [g]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Liang 2026] [h]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[ref: Saadi 2026] (ROBINS-I) [i]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This study (ARBITER) [j]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documented; No, affirmative absence; NR, Not reported (presence or absence unclear). Partly means: code, spreadsheet or incomplete rules; enforcement, some configurations or incomplete answer checks; breaks, overall-only or qualitative checks; quotations, semantic judging without occurrence/integrity checks; audit, retained responses without a verifiable source bundle; agent, enabled browsing or retrieval without demonstrated agent tool calls; reference, limited re-review, historical independent teams or text-relevance review; registry/protocol, compressed or restricted delivery. Structured prompting alone is not enforced rules. Registry/protocol includes SAPs and available records; a registration number alone does not qualify. This study gave both compared arms identical inputs; other matched model/workflow comparisons also used identical underlying sources (see eTable 32). a, Compressed ancillary records; overall-only checks. b, Post hoc Excel derivation; six development trials. c, Prompt rules. d, RoB 2 cohort; protocols when available. e, Masked panel; actual browsing unmeasured. f, One trial, 38 runs. g, Retrieval and retained edits. h, Post hoc support judging. i, ROBINS-I; selected concordant references. j, Recorded overrides permitted; none in 510 domains; disputed-cell adjudication. k, RobotReviewer used RoB 1; its blinded panel judged text relevance. Reference callouts resolve in the manuscript bibliography. Condensed cell evidence and quotation locations: eTable 32.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2026-10-19T11:13:03Z</dcterms:modified>
  <cp:category/>
</cp:coreProperties>
</file>